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 w:lineRule="auto"/>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附表</w:t>
      </w:r>
      <w:r>
        <w:rPr>
          <w:rFonts w:ascii="黑体" w:hAnsi="黑体" w:eastAsia="黑体" w:cs="黑体"/>
          <w:sz w:val="32"/>
          <w:szCs w:val="32"/>
        </w:rPr>
        <w:t>15</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泸州市门诊特殊疾病病种待遇认定申请表</w:t>
      </w:r>
    </w:p>
    <w:p>
      <w:pPr>
        <w:rPr>
          <w:rFonts w:ascii="仿宋_GB2312" w:hAnsi="仿宋_GB2312" w:eastAsia="仿宋_GB2312" w:cs="仿宋_GB2312"/>
        </w:rPr>
      </w:pPr>
    </w:p>
    <w:p>
      <w:pPr>
        <w:rPr>
          <w:rFonts w:ascii="仿宋_GB2312" w:hAnsi="仿宋_GB2312" w:eastAsia="仿宋_GB2312" w:cs="仿宋_GB2312"/>
        </w:rPr>
      </w:pPr>
      <w:r>
        <w:rPr>
          <w:rFonts w:hint="eastAsia" w:ascii="仿宋_GB2312" w:hAnsi="仿宋_GB2312" w:eastAsia="仿宋_GB2312" w:cs="仿宋_GB2312"/>
        </w:rPr>
        <w:t>认定机构名称（盖章）：     年    月    日</w:t>
      </w:r>
    </w:p>
    <w:tbl>
      <w:tblPr>
        <w:tblStyle w:val="4"/>
        <w:tblW w:w="882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1285"/>
        <w:gridCol w:w="930"/>
        <w:gridCol w:w="615"/>
        <w:gridCol w:w="630"/>
        <w:gridCol w:w="675"/>
        <w:gridCol w:w="660"/>
        <w:gridCol w:w="2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11" w:type="dxa"/>
            <w:vAlign w:val="center"/>
          </w:tcPr>
          <w:p>
            <w:pPr>
              <w:jc w:val="center"/>
              <w:rPr>
                <w:rFonts w:ascii="仿宋_GB2312" w:hAnsi="仿宋_GB2312" w:eastAsia="仿宋_GB2312" w:cs="仿宋_GB2312"/>
              </w:rPr>
            </w:pPr>
            <w:r>
              <w:rPr>
                <w:rFonts w:hint="eastAsia" w:ascii="仿宋_GB2312" w:hAnsi="仿宋_GB2312" w:eastAsia="仿宋_GB2312" w:cs="仿宋_GB2312"/>
              </w:rPr>
              <w:t>姓名</w:t>
            </w:r>
          </w:p>
        </w:tc>
        <w:tc>
          <w:tcPr>
            <w:tcW w:w="1285" w:type="dxa"/>
            <w:vAlign w:val="center"/>
          </w:tcPr>
          <w:p>
            <w:pPr>
              <w:jc w:val="center"/>
              <w:rPr>
                <w:rFonts w:ascii="仿宋_GB2312" w:hAnsi="仿宋_GB2312" w:eastAsia="仿宋_GB2312" w:cs="仿宋_GB2312"/>
              </w:rPr>
            </w:pPr>
          </w:p>
        </w:tc>
        <w:tc>
          <w:tcPr>
            <w:tcW w:w="930" w:type="dxa"/>
            <w:vAlign w:val="center"/>
          </w:tcPr>
          <w:p>
            <w:pPr>
              <w:jc w:val="center"/>
              <w:rPr>
                <w:rFonts w:ascii="仿宋_GB2312" w:hAnsi="仿宋_GB2312" w:eastAsia="仿宋_GB2312" w:cs="仿宋_GB2312"/>
              </w:rPr>
            </w:pPr>
            <w:r>
              <w:rPr>
                <w:rFonts w:hint="eastAsia" w:ascii="仿宋_GB2312" w:hAnsi="仿宋_GB2312" w:eastAsia="仿宋_GB2312" w:cs="仿宋_GB2312"/>
              </w:rPr>
              <w:t>性别</w:t>
            </w:r>
          </w:p>
        </w:tc>
        <w:tc>
          <w:tcPr>
            <w:tcW w:w="615" w:type="dxa"/>
            <w:vAlign w:val="center"/>
          </w:tcPr>
          <w:p>
            <w:pPr>
              <w:jc w:val="center"/>
              <w:rPr>
                <w:rFonts w:ascii="仿宋_GB2312" w:hAnsi="仿宋_GB2312" w:eastAsia="仿宋_GB2312" w:cs="仿宋_GB2312"/>
              </w:rPr>
            </w:pPr>
          </w:p>
        </w:tc>
        <w:tc>
          <w:tcPr>
            <w:tcW w:w="1305"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年龄</w:t>
            </w:r>
          </w:p>
        </w:tc>
        <w:tc>
          <w:tcPr>
            <w:tcW w:w="660" w:type="dxa"/>
            <w:vAlign w:val="center"/>
          </w:tcPr>
          <w:p>
            <w:pPr>
              <w:jc w:val="center"/>
              <w:rPr>
                <w:rFonts w:ascii="仿宋_GB2312" w:hAnsi="仿宋_GB2312" w:eastAsia="仿宋_GB2312" w:cs="仿宋_GB2312"/>
              </w:rPr>
            </w:pPr>
          </w:p>
        </w:tc>
        <w:tc>
          <w:tcPr>
            <w:tcW w:w="2814" w:type="dxa"/>
            <w:vAlign w:val="center"/>
          </w:tcPr>
          <w:p>
            <w:pPr>
              <w:rPr>
                <w:rFonts w:ascii="仿宋_GB2312" w:hAnsi="仿宋_GB2312" w:eastAsia="仿宋_GB2312" w:cs="仿宋_GB2312"/>
              </w:rPr>
            </w:pPr>
            <w:r>
              <w:rPr>
                <w:rFonts w:hint="eastAsia" w:ascii="仿宋_GB2312" w:hAnsi="仿宋_GB2312" w:eastAsia="仿宋_GB2312" w:cs="仿宋_GB2312"/>
              </w:rPr>
              <w:t>□职工医保</w:t>
            </w:r>
          </w:p>
          <w:p>
            <w:pPr>
              <w:rPr>
                <w:rFonts w:ascii="仿宋_GB2312" w:hAnsi="仿宋_GB2312" w:eastAsia="仿宋_GB2312" w:cs="仿宋_GB2312"/>
              </w:rPr>
            </w:pPr>
            <w:r>
              <w:rPr>
                <w:rFonts w:hint="eastAsia" w:ascii="仿宋_GB2312" w:hAnsi="仿宋_GB2312" w:eastAsia="仿宋_GB2312" w:cs="仿宋_GB2312"/>
              </w:rPr>
              <w:t>□城乡居民医保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11" w:type="dxa"/>
            <w:vAlign w:val="center"/>
          </w:tcPr>
          <w:p>
            <w:pPr>
              <w:jc w:val="center"/>
              <w:rPr>
                <w:rFonts w:ascii="仿宋_GB2312" w:hAnsi="仿宋_GB2312" w:eastAsia="仿宋_GB2312" w:cs="仿宋_GB2312"/>
              </w:rPr>
            </w:pPr>
            <w:r>
              <w:rPr>
                <w:rFonts w:hint="eastAsia" w:ascii="仿宋_GB2312" w:hAnsi="仿宋_GB2312" w:eastAsia="仿宋_GB2312" w:cs="仿宋_GB2312"/>
              </w:rPr>
              <w:t>参保地</w:t>
            </w:r>
          </w:p>
        </w:tc>
        <w:tc>
          <w:tcPr>
            <w:tcW w:w="7609" w:type="dxa"/>
            <w:gridSpan w:val="7"/>
            <w:vAlign w:val="center"/>
          </w:tcPr>
          <w:p>
            <w:pPr>
              <w:jc w:val="center"/>
              <w:rPr>
                <w:rFonts w:ascii="仿宋_GB2312" w:hAnsi="仿宋_GB2312" w:eastAsia="仿宋_GB2312" w:cs="仿宋_GB2312"/>
              </w:rPr>
            </w:pPr>
            <w:r>
              <w:rPr>
                <w:rFonts w:hint="eastAsia" w:ascii="仿宋_GB2312" w:hAnsi="仿宋_GB2312" w:eastAsia="仿宋_GB2312" w:cs="仿宋_GB2312"/>
              </w:rPr>
              <w:t>□市本级□江阳区□龙马潭区□纳溪区□泸县□合江县□叙永县□古蔺县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11" w:type="dxa"/>
            <w:vAlign w:val="center"/>
          </w:tcPr>
          <w:p>
            <w:pPr>
              <w:jc w:val="center"/>
              <w:rPr>
                <w:rFonts w:ascii="仿宋_GB2312" w:hAnsi="仿宋_GB2312" w:eastAsia="仿宋_GB2312" w:cs="仿宋_GB2312"/>
              </w:rPr>
            </w:pPr>
            <w:r>
              <w:rPr>
                <w:rFonts w:hint="eastAsia" w:ascii="仿宋_GB2312" w:hAnsi="仿宋_GB2312" w:eastAsia="仿宋_GB2312" w:cs="仿宋_GB2312"/>
              </w:rPr>
              <w:t>身份证</w:t>
            </w:r>
          </w:p>
          <w:p>
            <w:pPr>
              <w:jc w:val="center"/>
              <w:rPr>
                <w:rFonts w:ascii="仿宋_GB2312" w:hAnsi="仿宋_GB2312" w:eastAsia="仿宋_GB2312" w:cs="仿宋_GB2312"/>
              </w:rPr>
            </w:pPr>
            <w:r>
              <w:rPr>
                <w:rFonts w:hint="eastAsia" w:ascii="仿宋_GB2312" w:hAnsi="仿宋_GB2312" w:eastAsia="仿宋_GB2312" w:cs="仿宋_GB2312"/>
              </w:rPr>
              <w:t>件号码</w:t>
            </w:r>
          </w:p>
        </w:tc>
        <w:tc>
          <w:tcPr>
            <w:tcW w:w="2830" w:type="dxa"/>
            <w:gridSpan w:val="3"/>
            <w:vAlign w:val="center"/>
          </w:tcPr>
          <w:p>
            <w:pPr>
              <w:jc w:val="center"/>
              <w:rPr>
                <w:rFonts w:ascii="仿宋_GB2312" w:hAnsi="仿宋_GB2312" w:eastAsia="仿宋_GB2312" w:cs="仿宋_GB2312"/>
              </w:rPr>
            </w:pPr>
          </w:p>
        </w:tc>
        <w:tc>
          <w:tcPr>
            <w:tcW w:w="1305"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联系电话</w:t>
            </w:r>
          </w:p>
          <w:p>
            <w:pPr>
              <w:jc w:val="center"/>
              <w:rPr>
                <w:rFonts w:ascii="仿宋_GB2312" w:hAnsi="仿宋_GB2312" w:eastAsia="仿宋_GB2312" w:cs="仿宋_GB2312"/>
              </w:rPr>
            </w:pPr>
            <w:r>
              <w:rPr>
                <w:rFonts w:hint="eastAsia" w:ascii="仿宋_GB2312" w:hAnsi="仿宋_GB2312" w:eastAsia="仿宋_GB2312" w:cs="仿宋_GB2312"/>
              </w:rPr>
              <w:t>（手机）</w:t>
            </w:r>
          </w:p>
        </w:tc>
        <w:tc>
          <w:tcPr>
            <w:tcW w:w="3474" w:type="dxa"/>
            <w:gridSpan w:val="2"/>
            <w:vAlign w:val="center"/>
          </w:tcPr>
          <w:p>
            <w:pPr>
              <w:jc w:val="cente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211" w:type="dxa"/>
            <w:vAlign w:val="center"/>
          </w:tcPr>
          <w:p>
            <w:pPr>
              <w:jc w:val="center"/>
              <w:rPr>
                <w:rFonts w:ascii="仿宋_GB2312" w:hAnsi="仿宋_GB2312" w:eastAsia="仿宋_GB2312" w:cs="仿宋_GB2312"/>
              </w:rPr>
            </w:pPr>
            <w:r>
              <w:rPr>
                <w:rFonts w:hint="eastAsia" w:ascii="仿宋_GB2312" w:hAnsi="仿宋_GB2312" w:eastAsia="仿宋_GB2312" w:cs="仿宋_GB2312"/>
              </w:rPr>
              <w:t>选择定</w:t>
            </w:r>
          </w:p>
          <w:p>
            <w:pPr>
              <w:jc w:val="center"/>
              <w:rPr>
                <w:rFonts w:ascii="仿宋_GB2312" w:hAnsi="仿宋_GB2312" w:eastAsia="仿宋_GB2312" w:cs="仿宋_GB2312"/>
              </w:rPr>
            </w:pPr>
            <w:r>
              <w:rPr>
                <w:rFonts w:hint="eastAsia" w:ascii="仿宋_GB2312" w:hAnsi="仿宋_GB2312" w:eastAsia="仿宋_GB2312" w:cs="仿宋_GB2312"/>
              </w:rPr>
              <w:t>点医院</w:t>
            </w:r>
          </w:p>
        </w:tc>
        <w:tc>
          <w:tcPr>
            <w:tcW w:w="7609" w:type="dxa"/>
            <w:gridSpan w:val="7"/>
            <w:vAlign w:val="center"/>
          </w:tcPr>
          <w:p>
            <w:pPr>
              <w:rPr>
                <w:rFonts w:ascii="仿宋_GB2312" w:hAnsi="仿宋_GB2312" w:eastAsia="仿宋_GB2312" w:cs="仿宋_GB2312"/>
              </w:rPr>
            </w:pPr>
            <w:r>
              <w:rPr>
                <w:rFonts w:hint="eastAsia" w:ascii="仿宋_GB2312" w:hAnsi="仿宋_GB2312" w:eastAsia="仿宋_GB2312" w:cs="仿宋_GB2312"/>
              </w:rPr>
              <w:t>（Ⅱ类门特必填）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1211" w:type="dxa"/>
            <w:vAlign w:val="center"/>
          </w:tcPr>
          <w:p>
            <w:pPr>
              <w:jc w:val="center"/>
              <w:rPr>
                <w:rFonts w:ascii="仿宋_GB2312" w:hAnsi="仿宋_GB2312" w:eastAsia="仿宋_GB2312" w:cs="仿宋_GB2312"/>
              </w:rPr>
            </w:pPr>
            <w:r>
              <w:rPr>
                <w:rFonts w:hint="eastAsia" w:ascii="仿宋_GB2312" w:hAnsi="仿宋_GB2312" w:eastAsia="仿宋_GB2312" w:cs="仿宋_GB2312"/>
              </w:rPr>
              <w:t>申报病</w:t>
            </w:r>
          </w:p>
          <w:p>
            <w:pPr>
              <w:jc w:val="center"/>
              <w:rPr>
                <w:rFonts w:ascii="仿宋_GB2312" w:hAnsi="仿宋_GB2312" w:eastAsia="仿宋_GB2312" w:cs="仿宋_GB2312"/>
              </w:rPr>
            </w:pPr>
            <w:r>
              <w:rPr>
                <w:rFonts w:hint="eastAsia" w:ascii="仿宋_GB2312" w:hAnsi="仿宋_GB2312" w:eastAsia="仿宋_GB2312" w:cs="仿宋_GB2312"/>
              </w:rPr>
              <w:t>种名称</w:t>
            </w:r>
          </w:p>
        </w:tc>
        <w:tc>
          <w:tcPr>
            <w:tcW w:w="3460" w:type="dxa"/>
            <w:gridSpan w:val="4"/>
          </w:tcPr>
          <w:p>
            <w:pPr>
              <w:rPr>
                <w:rFonts w:ascii="仿宋_GB2312" w:hAnsi="仿宋_GB2312" w:eastAsia="仿宋_GB2312" w:cs="仿宋_GB2312"/>
              </w:rPr>
            </w:pPr>
            <w:r>
              <w:rPr>
                <w:rFonts w:hint="eastAsia" w:ascii="仿宋_GB2312" w:hAnsi="仿宋_GB2312" w:eastAsia="仿宋_GB2312" w:cs="仿宋_GB2312"/>
              </w:rPr>
              <w:t>Ⅰ类门特</w:t>
            </w:r>
            <w:r>
              <w:rPr>
                <w:rFonts w:ascii="仿宋_GB2312" w:hAnsi="仿宋_GB2312" w:eastAsia="仿宋_GB2312" w:cs="仿宋_GB2312"/>
              </w:rPr>
              <w:t>:</w:t>
            </w:r>
          </w:p>
        </w:tc>
        <w:tc>
          <w:tcPr>
            <w:tcW w:w="4149" w:type="dxa"/>
            <w:gridSpan w:val="3"/>
          </w:tcPr>
          <w:p>
            <w:pPr>
              <w:rPr>
                <w:rFonts w:ascii="仿宋_GB2312" w:hAnsi="仿宋_GB2312" w:eastAsia="仿宋_GB2312" w:cs="仿宋_GB2312"/>
              </w:rPr>
            </w:pPr>
            <w:r>
              <w:rPr>
                <w:rFonts w:hint="eastAsia" w:ascii="仿宋_GB2312" w:hAnsi="仿宋_GB2312" w:eastAsia="仿宋_GB2312" w:cs="仿宋_GB2312"/>
              </w:rPr>
              <w:t>Ⅱ类门特</w:t>
            </w:r>
            <w:r>
              <w:rPr>
                <w:rFonts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211" w:type="dxa"/>
            <w:vAlign w:val="center"/>
          </w:tcPr>
          <w:p>
            <w:pPr>
              <w:jc w:val="center"/>
              <w:rPr>
                <w:rFonts w:ascii="仿宋_GB2312" w:hAnsi="仿宋_GB2312" w:eastAsia="仿宋_GB2312" w:cs="仿宋_GB2312"/>
              </w:rPr>
            </w:pPr>
            <w:r>
              <w:rPr>
                <w:rFonts w:hint="eastAsia" w:ascii="仿宋_GB2312" w:hAnsi="仿宋_GB2312" w:eastAsia="仿宋_GB2312" w:cs="仿宋_GB2312"/>
              </w:rPr>
              <w:t>申请人</w:t>
            </w:r>
          </w:p>
          <w:p>
            <w:pPr>
              <w:jc w:val="center"/>
              <w:rPr>
                <w:rFonts w:ascii="仿宋_GB2312" w:hAnsi="仿宋_GB2312" w:eastAsia="仿宋_GB2312" w:cs="仿宋_GB2312"/>
              </w:rPr>
            </w:pPr>
            <w:r>
              <w:rPr>
                <w:rFonts w:hint="eastAsia" w:ascii="仿宋_GB2312" w:hAnsi="仿宋_GB2312" w:eastAsia="仿宋_GB2312" w:cs="仿宋_GB2312"/>
              </w:rPr>
              <w:t>签名</w:t>
            </w:r>
          </w:p>
        </w:tc>
        <w:tc>
          <w:tcPr>
            <w:tcW w:w="7609" w:type="dxa"/>
            <w:gridSpan w:val="7"/>
            <w:vAlign w:val="center"/>
          </w:tcPr>
          <w:p>
            <w:pPr>
              <w:jc w:val="cente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1" w:hRule="atLeast"/>
        </w:trPr>
        <w:tc>
          <w:tcPr>
            <w:tcW w:w="1211" w:type="dxa"/>
            <w:vAlign w:val="center"/>
          </w:tcPr>
          <w:p>
            <w:pPr>
              <w:jc w:val="center"/>
              <w:rPr>
                <w:rFonts w:ascii="仿宋_GB2312" w:hAnsi="仿宋_GB2312" w:eastAsia="仿宋_GB2312" w:cs="仿宋_GB2312"/>
              </w:rPr>
            </w:pPr>
            <w:r>
              <w:rPr>
                <w:rFonts w:hint="eastAsia" w:ascii="仿宋_GB2312" w:hAnsi="仿宋_GB2312" w:eastAsia="仿宋_GB2312" w:cs="仿宋_GB2312"/>
              </w:rPr>
              <w:t>申报病种情况（符合诊断标准项目）</w:t>
            </w:r>
          </w:p>
        </w:tc>
        <w:tc>
          <w:tcPr>
            <w:tcW w:w="7609" w:type="dxa"/>
            <w:gridSpan w:val="7"/>
            <w:vAlign w:val="bottom"/>
          </w:tcPr>
          <w:p>
            <w:pPr>
              <w:wordWrap w:val="0"/>
              <w:jc w:val="right"/>
              <w:rPr>
                <w:rFonts w:ascii="仿宋_GB2312" w:hAnsi="仿宋_GB2312" w:eastAsia="仿宋_GB2312" w:cs="仿宋_GB2312"/>
              </w:rPr>
            </w:pPr>
            <w:r>
              <w:rPr>
                <w:rFonts w:hint="eastAsia" w:ascii="仿宋_GB2312" w:hAnsi="仿宋_GB2312" w:eastAsia="仿宋_GB2312" w:cs="仿宋_GB2312"/>
              </w:rPr>
              <w:t>认定医师签名：</w:t>
            </w:r>
          </w:p>
          <w:p>
            <w:pPr>
              <w:wordWrap w:val="0"/>
              <w:jc w:val="center"/>
              <w:rPr>
                <w:rFonts w:ascii="仿宋_GB2312" w:hAnsi="仿宋_GB2312" w:eastAsia="仿宋_GB2312" w:cs="仿宋_GB2312"/>
              </w:rPr>
            </w:pPr>
            <w:r>
              <w:rPr>
                <w:rFonts w:hint="eastAsia" w:ascii="仿宋_GB2312" w:hAnsi="仿宋_GB2312" w:eastAsia="仿宋_GB2312" w:cs="仿宋_GB2312"/>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1211" w:type="dxa"/>
            <w:vAlign w:val="center"/>
          </w:tcPr>
          <w:p>
            <w:pPr>
              <w:jc w:val="center"/>
              <w:rPr>
                <w:rFonts w:ascii="仿宋_GB2312" w:hAnsi="仿宋_GB2312" w:eastAsia="仿宋_GB2312" w:cs="仿宋_GB2312"/>
              </w:rPr>
            </w:pPr>
            <w:r>
              <w:rPr>
                <w:rFonts w:hint="eastAsia" w:ascii="仿宋_GB2312" w:hAnsi="仿宋_GB2312" w:eastAsia="仿宋_GB2312" w:cs="仿宋_GB2312"/>
              </w:rPr>
              <w:t>认定医疗机构意见</w:t>
            </w:r>
          </w:p>
        </w:tc>
        <w:tc>
          <w:tcPr>
            <w:tcW w:w="7609" w:type="dxa"/>
            <w:gridSpan w:val="7"/>
            <w:vAlign w:val="center"/>
          </w:tcPr>
          <w:p>
            <w:pPr>
              <w:jc w:val="cente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211" w:type="dxa"/>
            <w:vAlign w:val="center"/>
          </w:tcPr>
          <w:p>
            <w:pPr>
              <w:jc w:val="center"/>
              <w:rPr>
                <w:rFonts w:ascii="仿宋_GB2312" w:hAnsi="仿宋_GB2312" w:eastAsia="仿宋_GB2312" w:cs="仿宋_GB2312"/>
              </w:rPr>
            </w:pPr>
            <w:r>
              <w:rPr>
                <w:rFonts w:hint="eastAsia" w:ascii="仿宋_GB2312" w:hAnsi="仿宋_GB2312" w:eastAsia="仿宋_GB2312" w:cs="仿宋_GB2312"/>
              </w:rPr>
              <w:t>备注</w:t>
            </w:r>
          </w:p>
        </w:tc>
        <w:tc>
          <w:tcPr>
            <w:tcW w:w="7609" w:type="dxa"/>
            <w:gridSpan w:val="7"/>
            <w:vAlign w:val="center"/>
          </w:tcPr>
          <w:p>
            <w:pPr>
              <w:rPr>
                <w:rFonts w:ascii="仿宋_GB2312" w:hAnsi="仿宋_GB2312" w:eastAsia="仿宋_GB2312" w:cs="仿宋_GB2312"/>
              </w:rPr>
            </w:pPr>
            <w:r>
              <w:rPr>
                <w:rFonts w:hint="eastAsia" w:ascii="仿宋_GB2312" w:hAnsi="仿宋_GB2312" w:eastAsia="仿宋_GB2312" w:cs="仿宋_GB2312"/>
              </w:rPr>
              <w:t>Ⅰ类门特实行目录制限额管理，最多可申报两种；Ⅱ类门特实行方案制管理，认定为Ⅱ类门特的需按要求在本表背面填写《泸州市基本医疗保险Ⅱ类门特治疗方案》。</w:t>
            </w:r>
          </w:p>
        </w:tc>
      </w:tr>
    </w:tbl>
    <w:p>
      <w:pPr>
        <w:jc w:val="center"/>
        <w:rPr>
          <w:rFonts w:hint="eastAsia" w:ascii="方正小标宋简体" w:hAnsi="仿宋_GB2312" w:eastAsia="方正小标宋简体" w:cs="仿宋_GB2312"/>
          <w:sz w:val="36"/>
          <w:szCs w:val="36"/>
        </w:rPr>
      </w:pPr>
    </w:p>
    <w:p>
      <w:pPr>
        <w:jc w:val="center"/>
        <w:rPr>
          <w:rFonts w:hint="eastAsia" w:ascii="方正小标宋简体" w:hAnsi="仿宋_GB2312" w:eastAsia="方正小标宋简体" w:cs="仿宋_GB2312"/>
          <w:sz w:val="36"/>
          <w:szCs w:val="36"/>
        </w:rPr>
      </w:pPr>
    </w:p>
    <w:p>
      <w:pPr>
        <w:jc w:val="center"/>
        <w:rPr>
          <w:rFonts w:hint="eastAsia" w:ascii="方正小标宋简体" w:hAnsi="仿宋_GB2312" w:eastAsia="方正小标宋简体" w:cs="仿宋_GB2312"/>
          <w:sz w:val="36"/>
          <w:szCs w:val="36"/>
        </w:rPr>
      </w:pPr>
    </w:p>
    <w:p>
      <w:pPr>
        <w:jc w:val="center"/>
        <w:rPr>
          <w:rFonts w:ascii="方正小标宋简体" w:hAnsi="仿宋_GB2312" w:eastAsia="方正小标宋简体" w:cs="仿宋_GB2312"/>
          <w:sz w:val="36"/>
          <w:szCs w:val="36"/>
        </w:rPr>
      </w:pPr>
      <w:r>
        <w:rPr>
          <w:rFonts w:hint="eastAsia" w:ascii="方正小标宋简体" w:hAnsi="仿宋_GB2312" w:eastAsia="方正小标宋简体" w:cs="仿宋_GB2312"/>
          <w:sz w:val="36"/>
          <w:szCs w:val="36"/>
        </w:rPr>
        <w:t>泸州市基本医疗保险Ⅱ类门特治疗方案</w:t>
      </w:r>
    </w:p>
    <w:p>
      <w:pPr>
        <w:rPr>
          <w:rFonts w:ascii="仿宋_GB2312" w:hAnsi="仿宋_GB2312" w:eastAsia="仿宋_GB2312" w:cs="仿宋_GB2312"/>
        </w:rPr>
      </w:pPr>
    </w:p>
    <w:tbl>
      <w:tblPr>
        <w:tblStyle w:val="4"/>
        <w:tblW w:w="9699" w:type="dxa"/>
        <w:jc w:val="center"/>
        <w:tblLayout w:type="fixed"/>
        <w:tblCellMar>
          <w:top w:w="15" w:type="dxa"/>
          <w:left w:w="15" w:type="dxa"/>
          <w:bottom w:w="15" w:type="dxa"/>
          <w:right w:w="15" w:type="dxa"/>
        </w:tblCellMar>
      </w:tblPr>
      <w:tblGrid>
        <w:gridCol w:w="495"/>
        <w:gridCol w:w="629"/>
        <w:gridCol w:w="495"/>
        <w:gridCol w:w="1991"/>
        <w:gridCol w:w="1039"/>
        <w:gridCol w:w="2067"/>
        <w:gridCol w:w="2664"/>
        <w:gridCol w:w="319"/>
      </w:tblGrid>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restart"/>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r>
              <w:rPr>
                <w:rFonts w:hint="eastAsia" w:ascii="仿宋_GB2312" w:hAnsi="仿宋_GB2312" w:eastAsia="仿宋_GB2312" w:cs="仿宋_GB2312"/>
              </w:rPr>
              <w:t>Ⅱ类门特</w:t>
            </w:r>
          </w:p>
          <w:p>
            <w:pPr>
              <w:widowControl/>
              <w:jc w:val="center"/>
              <w:textAlignment w:val="center"/>
              <w:rPr>
                <w:rFonts w:ascii="宋体" w:cs="宋体"/>
                <w:color w:val="000000"/>
                <w:sz w:val="24"/>
              </w:rPr>
            </w:pPr>
            <w:r>
              <w:rPr>
                <w:rFonts w:hint="eastAsia" w:ascii="仿宋_GB2312" w:hAnsi="仿宋_GB2312" w:eastAsia="仿宋_GB2312" w:cs="仿宋_GB2312"/>
              </w:rPr>
              <w:t>治疗方案</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r>
              <w:rPr>
                <w:rFonts w:hint="eastAsia" w:ascii="仿宋_GB2312" w:hAnsi="仿宋_GB2312" w:eastAsia="仿宋_GB2312" w:cs="仿宋_GB2312"/>
              </w:rPr>
              <w:t>药品名称</w:t>
            </w:r>
          </w:p>
        </w:tc>
        <w:tc>
          <w:tcPr>
            <w:tcW w:w="10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r>
              <w:rPr>
                <w:rFonts w:hint="eastAsia" w:ascii="仿宋_GB2312" w:hAnsi="仿宋_GB2312" w:eastAsia="仿宋_GB2312" w:cs="仿宋_GB2312"/>
              </w:rPr>
              <w:t>剂型</w:t>
            </w:r>
          </w:p>
        </w:tc>
        <w:tc>
          <w:tcPr>
            <w:tcW w:w="2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r>
              <w:rPr>
                <w:rFonts w:hint="eastAsia" w:ascii="仿宋_GB2312" w:hAnsi="仿宋_GB2312" w:eastAsia="仿宋_GB2312" w:cs="仿宋_GB2312"/>
              </w:rPr>
              <w:t>规格</w:t>
            </w:r>
          </w:p>
        </w:tc>
        <w:tc>
          <w:tcPr>
            <w:tcW w:w="298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r>
              <w:rPr>
                <w:rFonts w:hint="eastAsia" w:ascii="仿宋_GB2312" w:hAnsi="仿宋_GB2312" w:eastAsia="仿宋_GB2312" w:cs="仿宋_GB2312"/>
              </w:rPr>
              <w:t>用法用量</w:t>
            </w: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10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98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10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98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10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98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10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98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10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98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10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298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5097"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r>
              <w:rPr>
                <w:rFonts w:hint="eastAsia" w:ascii="仿宋_GB2312" w:hAnsi="仿宋_GB2312" w:eastAsia="仿宋_GB2312" w:cs="仿宋_GB2312"/>
              </w:rPr>
              <w:t>诊疗项目</w:t>
            </w:r>
          </w:p>
        </w:tc>
        <w:tc>
          <w:tcPr>
            <w:tcW w:w="2983"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r>
              <w:rPr>
                <w:rFonts w:hint="eastAsia" w:ascii="仿宋_GB2312" w:hAnsi="仿宋_GB2312" w:eastAsia="仿宋_GB2312" w:cs="仿宋_GB2312"/>
              </w:rPr>
              <w:t>频次</w:t>
            </w: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509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c>
          <w:tcPr>
            <w:tcW w:w="2983" w:type="dxa"/>
            <w:gridSpan w:val="2"/>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509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c>
          <w:tcPr>
            <w:tcW w:w="2983" w:type="dxa"/>
            <w:gridSpan w:val="2"/>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509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c>
          <w:tcPr>
            <w:tcW w:w="2983" w:type="dxa"/>
            <w:gridSpan w:val="2"/>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gridBefore w:val="1"/>
          <w:wBefore w:w="495" w:type="dxa"/>
          <w:trHeight w:val="397"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509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c>
          <w:tcPr>
            <w:tcW w:w="2983" w:type="dxa"/>
            <w:gridSpan w:val="2"/>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gridBefore w:val="1"/>
          <w:wBefore w:w="495" w:type="dxa"/>
          <w:trHeight w:val="450" w:hRule="exact"/>
          <w:jc w:val="center"/>
        </w:trPr>
        <w:tc>
          <w:tcPr>
            <w:tcW w:w="1124" w:type="dxa"/>
            <w:gridSpan w:val="2"/>
            <w:vMerge w:val="continue"/>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c>
          <w:tcPr>
            <w:tcW w:w="509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c>
          <w:tcPr>
            <w:tcW w:w="2983" w:type="dxa"/>
            <w:gridSpan w:val="2"/>
            <w:tcBorders>
              <w:top w:val="single" w:color="000000" w:sz="4" w:space="0"/>
              <w:left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gridBefore w:val="1"/>
          <w:wBefore w:w="495" w:type="dxa"/>
          <w:trHeight w:val="1073" w:hRule="atLeast"/>
          <w:jc w:val="center"/>
        </w:trPr>
        <w:tc>
          <w:tcPr>
            <w:tcW w:w="1124"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rPr>
            </w:pPr>
          </w:p>
        </w:tc>
        <w:tc>
          <w:tcPr>
            <w:tcW w:w="5097" w:type="dxa"/>
            <w:gridSpan w:val="3"/>
            <w:tcBorders>
              <w:top w:val="single" w:color="000000" w:sz="4" w:space="0"/>
              <w:left w:val="single" w:color="000000" w:sz="4" w:space="0"/>
              <w:bottom w:val="single" w:color="000000" w:sz="4" w:space="0"/>
              <w:right w:val="single" w:color="000000" w:sz="4" w:space="0"/>
            </w:tcBorders>
          </w:tcPr>
          <w:p>
            <w:pPr>
              <w:widowControl/>
              <w:jc w:val="left"/>
              <w:textAlignment w:val="center"/>
              <w:rPr>
                <w:rFonts w:ascii="仿宋_GB2312" w:hAnsi="仿宋_GB2312" w:eastAsia="仿宋_GB2312" w:cs="仿宋_GB2312"/>
              </w:rPr>
            </w:pPr>
            <w:r>
              <w:rPr>
                <w:rFonts w:ascii="仿宋_GB2312" w:hAnsi="仿宋_GB2312" w:eastAsia="仿宋_GB2312" w:cs="仿宋_GB2312"/>
              </w:rPr>
              <w:br w:type="textWrapping"/>
            </w:r>
            <w:r>
              <w:rPr>
                <w:rFonts w:hint="eastAsia" w:ascii="仿宋_GB2312" w:hAnsi="仿宋_GB2312" w:eastAsia="仿宋_GB2312" w:cs="仿宋_GB2312"/>
              </w:rPr>
              <w:t>责任医生（签字）：</w:t>
            </w:r>
            <w:r>
              <w:rPr>
                <w:rFonts w:ascii="仿宋_GB2312" w:hAnsi="仿宋_GB2312" w:eastAsia="仿宋_GB2312" w:cs="仿宋_GB2312"/>
              </w:rPr>
              <w:br w:type="textWrapping"/>
            </w:r>
            <w:r>
              <w:rPr>
                <w:rFonts w:hint="eastAsia" w:ascii="仿宋_GB2312" w:hAnsi="仿宋_GB2312" w:eastAsia="仿宋_GB2312" w:cs="仿宋_GB2312"/>
              </w:rPr>
              <w:t xml:space="preserve">    年    月    日</w:t>
            </w:r>
          </w:p>
        </w:tc>
        <w:tc>
          <w:tcPr>
            <w:tcW w:w="2983" w:type="dxa"/>
            <w:gridSpan w:val="2"/>
            <w:tcBorders>
              <w:top w:val="single" w:color="000000" w:sz="4" w:space="0"/>
              <w:left w:val="single" w:color="000000" w:sz="4" w:space="0"/>
              <w:bottom w:val="single" w:color="000000" w:sz="4" w:space="0"/>
              <w:right w:val="single" w:color="000000" w:sz="4" w:space="0"/>
            </w:tcBorders>
          </w:tcPr>
          <w:p>
            <w:pPr>
              <w:widowControl/>
              <w:jc w:val="left"/>
              <w:textAlignment w:val="center"/>
              <w:rPr>
                <w:rFonts w:ascii="仿宋_GB2312" w:hAnsi="仿宋_GB2312" w:eastAsia="仿宋_GB2312" w:cs="仿宋_GB2312"/>
              </w:rPr>
            </w:pPr>
            <w:r>
              <w:rPr>
                <w:rFonts w:ascii="仿宋_GB2312" w:hAnsi="仿宋_GB2312" w:eastAsia="仿宋_GB2312" w:cs="仿宋_GB2312"/>
              </w:rPr>
              <w:br w:type="textWrapping"/>
            </w:r>
            <w:r>
              <w:rPr>
                <w:rFonts w:hint="eastAsia" w:ascii="仿宋_GB2312" w:hAnsi="仿宋_GB2312" w:eastAsia="仿宋_GB2312" w:cs="仿宋_GB2312"/>
              </w:rPr>
              <w:t>医保办签字（盖章）：</w:t>
            </w:r>
            <w:r>
              <w:rPr>
                <w:rFonts w:ascii="仿宋_GB2312" w:hAnsi="仿宋_GB2312" w:eastAsia="仿宋_GB2312" w:cs="仿宋_GB2312"/>
              </w:rPr>
              <w:br w:type="textWrapping"/>
            </w:r>
            <w:r>
              <w:rPr>
                <w:rFonts w:hint="eastAsia" w:ascii="仿宋_GB2312" w:hAnsi="仿宋_GB2312" w:eastAsia="仿宋_GB2312" w:cs="仿宋_GB231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9" w:type="dxa"/>
          <w:trHeight w:val="475" w:hRule="atLeast"/>
        </w:trPr>
        <w:tc>
          <w:tcPr>
            <w:tcW w:w="1124" w:type="dxa"/>
            <w:gridSpan w:val="2"/>
            <w:vMerge w:val="restart"/>
            <w:vAlign w:val="center"/>
          </w:tcPr>
          <w:p>
            <w:pPr>
              <w:rPr>
                <w:rFonts w:hint="eastAsia" w:ascii="仿宋_GB2312" w:hAnsi="仿宋_GB2312" w:eastAsia="仿宋_GB2312" w:cs="仿宋_GB2312"/>
                <w:sz w:val="10"/>
                <w:szCs w:val="10"/>
              </w:rPr>
            </w:pPr>
          </w:p>
          <w:p>
            <w:pPr>
              <w:jc w:val="center"/>
              <w:rPr>
                <w:rFonts w:ascii="仿宋_GB2312" w:hAnsi="仿宋_GB2312" w:eastAsia="仿宋_GB2312" w:cs="仿宋_GB2312"/>
              </w:rPr>
            </w:pPr>
            <w:r>
              <w:rPr>
                <w:rFonts w:hint="eastAsia" w:ascii="仿宋_GB2312" w:hAnsi="仿宋_GB2312" w:eastAsia="仿宋_GB2312" w:cs="仿宋_GB2312"/>
              </w:rPr>
              <w:t>参保机构审批意见</w:t>
            </w:r>
          </w:p>
        </w:tc>
        <w:tc>
          <w:tcPr>
            <w:tcW w:w="8256" w:type="dxa"/>
            <w:gridSpan w:val="5"/>
            <w:vAlign w:val="center"/>
          </w:tcPr>
          <w:p>
            <w:pPr>
              <w:jc w:val="left"/>
              <w:rPr>
                <w:rFonts w:ascii="仿宋_GB2312" w:hAnsi="仿宋_GB2312" w:eastAsia="仿宋_GB2312" w:cs="仿宋_GB2312"/>
              </w:rPr>
            </w:pPr>
            <w:r>
              <w:rPr>
                <w:rFonts w:hint="eastAsia" w:ascii="仿宋_GB2312" w:hAnsi="仿宋_GB2312" w:eastAsia="仿宋_GB2312" w:cs="仿宋_GB2312"/>
              </w:rPr>
              <w:t>有效期：     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9" w:type="dxa"/>
          <w:trHeight w:val="1276" w:hRule="atLeast"/>
        </w:trPr>
        <w:tc>
          <w:tcPr>
            <w:tcW w:w="1124" w:type="dxa"/>
            <w:gridSpan w:val="2"/>
            <w:vMerge w:val="continue"/>
            <w:vAlign w:val="center"/>
          </w:tcPr>
          <w:p>
            <w:pPr>
              <w:jc w:val="center"/>
              <w:rPr>
                <w:rFonts w:hint="eastAsia" w:ascii="仿宋_GB2312" w:hAnsi="仿宋_GB2312" w:eastAsia="仿宋_GB2312" w:cs="仿宋_GB2312"/>
              </w:rPr>
            </w:pPr>
          </w:p>
        </w:tc>
        <w:tc>
          <w:tcPr>
            <w:tcW w:w="8256" w:type="dxa"/>
            <w:gridSpan w:val="5"/>
            <w:vAlign w:val="center"/>
          </w:tcPr>
          <w:p>
            <w:pPr>
              <w:ind w:right="420"/>
              <w:rPr>
                <w:rFonts w:hint="eastAsia" w:ascii="仿宋_GB2312" w:hAnsi="仿宋_GB2312" w:eastAsia="仿宋_GB2312" w:cs="仿宋_GB2312"/>
              </w:rPr>
            </w:pPr>
            <w:r>
              <w:rPr>
                <w:rFonts w:hint="eastAsia" w:ascii="仿宋_GB2312" w:hAnsi="仿宋_GB2312" w:eastAsia="仿宋_GB2312" w:cs="仿宋_GB2312"/>
              </w:rPr>
              <w:t>请按照现行Ⅱ类门诊特殊疾病</w:t>
            </w:r>
            <w:r>
              <w:rPr>
                <w:rFonts w:hint="eastAsia" w:ascii="仿宋_GB2312" w:hAnsi="仿宋_GB2312" w:eastAsia="仿宋_GB2312" w:cs="仿宋_GB2312"/>
                <w:u w:val="single"/>
              </w:rPr>
              <w:t xml:space="preserve">          </w:t>
            </w:r>
            <w:r>
              <w:rPr>
                <w:rFonts w:hint="eastAsia" w:ascii="仿宋_GB2312" w:hAnsi="仿宋_GB2312" w:eastAsia="仿宋_GB2312" w:cs="仿宋_GB2312"/>
              </w:rPr>
              <w:t>进行报销。</w:t>
            </w:r>
          </w:p>
          <w:p>
            <w:pPr>
              <w:ind w:right="420"/>
              <w:rPr>
                <w:rFonts w:hint="eastAsia" w:ascii="仿宋_GB2312" w:hAnsi="仿宋_GB2312" w:eastAsia="仿宋_GB2312" w:cs="仿宋_GB2312"/>
              </w:rPr>
            </w:pPr>
          </w:p>
          <w:p>
            <w:pPr>
              <w:ind w:right="420" w:firstLine="4410" w:firstLineChars="2100"/>
              <w:rPr>
                <w:rFonts w:ascii="仿宋_GB2312" w:hAnsi="仿宋_GB2312" w:eastAsia="仿宋_GB2312" w:cs="仿宋_GB2312"/>
              </w:rPr>
            </w:pPr>
            <w:r>
              <w:rPr>
                <w:rFonts w:hint="eastAsia" w:ascii="仿宋_GB2312" w:hAnsi="仿宋_GB2312" w:eastAsia="仿宋_GB2312" w:cs="仿宋_GB2312"/>
              </w:rPr>
              <w:t>经办人：    年  月  日</w:t>
            </w:r>
          </w:p>
        </w:tc>
      </w:tr>
    </w:tbl>
    <w:p>
      <w:pPr>
        <w:widowControl/>
        <w:jc w:val="center"/>
        <w:textAlignment w:val="center"/>
        <w:rPr>
          <w:rFonts w:ascii="仿宋_GB2312" w:hAnsi="仿宋_GB2312" w:eastAsia="仿宋_GB2312" w:cs="仿宋_GB2312"/>
        </w:rPr>
      </w:pPr>
    </w:p>
    <w:p>
      <w:pPr>
        <w:widowControl/>
        <w:textAlignment w:val="center"/>
        <w:rPr>
          <w:rFonts w:ascii="仿宋_GB2312" w:hAnsi="仿宋_GB2312" w:eastAsia="仿宋_GB2312" w:cs="仿宋_GB2312"/>
          <w:b/>
        </w:rPr>
      </w:pPr>
      <w:r>
        <w:rPr>
          <w:rFonts w:hint="eastAsia" w:ascii="仿宋_GB2312" w:hAnsi="仿宋_GB2312" w:eastAsia="仿宋_GB2312" w:cs="仿宋_GB2312"/>
          <w:b/>
        </w:rPr>
        <w:t>温馨提示：（先审批后治疗，请注意有效期）</w:t>
      </w:r>
    </w:p>
    <w:p>
      <w:pPr>
        <w:widowControl/>
        <w:spacing w:line="300" w:lineRule="exact"/>
        <w:ind w:firstLine="420" w:firstLineChars="200"/>
        <w:textAlignment w:val="center"/>
        <w:rPr>
          <w:rStyle w:val="9"/>
          <w:rFonts w:ascii="仿宋_GB2312" w:eastAsia="仿宋_GB2312"/>
          <w:color w:val="auto"/>
          <w:sz w:val="21"/>
          <w:szCs w:val="21"/>
          <w:u w:val="none"/>
        </w:rPr>
      </w:pPr>
      <w:r>
        <w:rPr>
          <w:rStyle w:val="9"/>
          <w:rFonts w:ascii="仿宋_GB2312" w:eastAsia="仿宋_GB2312"/>
          <w:color w:val="auto"/>
          <w:sz w:val="21"/>
          <w:szCs w:val="21"/>
          <w:u w:val="none"/>
        </w:rPr>
        <w:t>1.</w:t>
      </w:r>
      <w:r>
        <w:rPr>
          <w:rStyle w:val="9"/>
          <w:rFonts w:hint="eastAsia" w:ascii="仿宋_GB2312" w:eastAsia="仿宋_GB2312"/>
          <w:color w:val="auto"/>
          <w:sz w:val="21"/>
          <w:szCs w:val="21"/>
          <w:u w:val="none"/>
        </w:rPr>
        <w:t>泸州市门诊特殊疾病</w:t>
      </w:r>
      <w:r>
        <w:rPr>
          <w:rStyle w:val="9"/>
          <w:rFonts w:hint="eastAsia" w:ascii="仿宋_GB2312" w:eastAsia="仿宋_GB2312"/>
          <w:b/>
          <w:color w:val="auto"/>
          <w:sz w:val="21"/>
          <w:szCs w:val="21"/>
          <w:u w:val="none"/>
        </w:rPr>
        <w:t>认定标准</w:t>
      </w:r>
      <w:r>
        <w:rPr>
          <w:rStyle w:val="9"/>
          <w:rFonts w:hint="eastAsia" w:ascii="仿宋_GB2312" w:eastAsia="仿宋_GB2312"/>
          <w:color w:val="auto"/>
          <w:sz w:val="21"/>
          <w:szCs w:val="21"/>
          <w:u w:val="none"/>
        </w:rPr>
        <w:t>详见《泸州市基本医疗保险门诊特殊疾病管理办法》《泸州市医疗保障局关于将肝豆状核变性、</w:t>
      </w:r>
      <w:r>
        <w:rPr>
          <w:rStyle w:val="10"/>
          <w:rFonts w:hint="eastAsia" w:ascii="仿宋_GB2312" w:eastAsia="仿宋_GB2312"/>
          <w:color w:val="auto"/>
          <w:sz w:val="21"/>
          <w:szCs w:val="21"/>
        </w:rPr>
        <w:t>普拉德</w:t>
      </w:r>
      <w:r>
        <w:rPr>
          <w:rStyle w:val="10"/>
          <w:rFonts w:ascii="仿宋_GB2312" w:eastAsia="仿宋_GB2312"/>
          <w:color w:val="auto"/>
          <w:sz w:val="21"/>
          <w:szCs w:val="21"/>
        </w:rPr>
        <w:t>-</w:t>
      </w:r>
      <w:r>
        <w:rPr>
          <w:rStyle w:val="10"/>
          <w:rFonts w:hint="eastAsia" w:ascii="仿宋_GB2312" w:eastAsia="仿宋_GB2312"/>
          <w:color w:val="auto"/>
          <w:sz w:val="21"/>
          <w:szCs w:val="21"/>
        </w:rPr>
        <w:t>威利综合征和原发性生长激素缺乏症纳入门诊特殊疾病管理有关问题的通知</w:t>
      </w:r>
      <w:r>
        <w:rPr>
          <w:rStyle w:val="9"/>
          <w:rFonts w:hint="eastAsia" w:ascii="仿宋_GB2312" w:eastAsia="仿宋_GB2312"/>
          <w:color w:val="auto"/>
          <w:sz w:val="21"/>
          <w:szCs w:val="21"/>
          <w:u w:val="none"/>
        </w:rPr>
        <w:t>》。</w:t>
      </w:r>
      <w:r>
        <w:rPr>
          <w:rStyle w:val="9"/>
          <w:rFonts w:ascii="仿宋_GB2312" w:eastAsia="仿宋_GB2312"/>
          <w:color w:val="auto"/>
          <w:sz w:val="21"/>
          <w:szCs w:val="21"/>
          <w:u w:val="none"/>
        </w:rPr>
        <w:t>2.</w:t>
      </w:r>
      <w:r>
        <w:rPr>
          <w:rStyle w:val="9"/>
          <w:rFonts w:hint="eastAsia" w:ascii="仿宋_GB2312" w:eastAsia="仿宋_GB2312"/>
          <w:color w:val="auto"/>
          <w:sz w:val="21"/>
          <w:szCs w:val="21"/>
          <w:u w:val="none"/>
        </w:rPr>
        <w:t>泸州市门诊特殊疾病种类包括Ⅰ类门特和Ⅱ类门特。</w:t>
      </w:r>
    </w:p>
    <w:p>
      <w:pPr>
        <w:widowControl/>
        <w:spacing w:line="300" w:lineRule="exact"/>
        <w:ind w:firstLine="422" w:firstLineChars="200"/>
        <w:textAlignment w:val="center"/>
        <w:rPr>
          <w:rFonts w:ascii="仿宋_GB2312" w:hAnsi="宋体" w:eastAsia="仿宋_GB2312" w:cs="宋体"/>
          <w:szCs w:val="21"/>
        </w:rPr>
      </w:pPr>
      <w:r>
        <w:rPr>
          <w:rStyle w:val="9"/>
          <w:rFonts w:hint="eastAsia" w:ascii="仿宋_GB2312" w:eastAsia="仿宋_GB2312"/>
          <w:b/>
          <w:color w:val="auto"/>
          <w:sz w:val="21"/>
          <w:szCs w:val="21"/>
          <w:u w:val="none"/>
        </w:rPr>
        <w:t>Ⅰ类门特</w:t>
      </w:r>
      <w:r>
        <w:rPr>
          <w:rStyle w:val="9"/>
          <w:rFonts w:hint="eastAsia" w:ascii="仿宋_GB2312" w:eastAsia="仿宋_GB2312"/>
          <w:color w:val="auto"/>
          <w:sz w:val="21"/>
          <w:szCs w:val="21"/>
          <w:u w:val="none"/>
        </w:rPr>
        <w:t>：</w:t>
      </w:r>
      <w:r>
        <w:rPr>
          <w:rStyle w:val="10"/>
          <w:rFonts w:hint="eastAsia" w:ascii="仿宋_GB2312" w:eastAsia="仿宋_GB2312"/>
          <w:color w:val="auto"/>
          <w:sz w:val="21"/>
          <w:szCs w:val="21"/>
        </w:rPr>
        <w:t>甲状腺功能亢进、甲状腺功能减退、冠状动脉粥样硬化性心脏病、风湿性心脏瓣膜病、先天性心脏病、慢性肺源性心脏病、心肌病、高血压病、脑血管意外后遗症、糖尿病、支气管哮喘、慢性阻塞性肺疾病、结核病、癫痫、慢性肝炎、肝硬化、类风湿性关节炎、肾病综合征、痛风、青光眼、重症肌无力、进行性肌营养不良、运动神经元病、肾功衰药物治疗、恶性肿瘤非放化疗期、精神类疾病（双向情感障碍、抑郁症、躁狂症和癫痫所致精神障碍）。</w:t>
      </w:r>
      <w:r>
        <w:rPr>
          <w:rStyle w:val="10"/>
          <w:rFonts w:ascii="仿宋_GB2312" w:eastAsia="仿宋_GB2312"/>
          <w:color w:val="auto"/>
          <w:sz w:val="21"/>
          <w:szCs w:val="21"/>
        </w:rPr>
        <w:br w:type="textWrapping"/>
      </w:r>
      <w:r>
        <w:rPr>
          <w:rStyle w:val="9"/>
          <w:rFonts w:hint="eastAsia" w:ascii="仿宋_GB2312" w:eastAsia="仿宋_GB2312"/>
          <w:b/>
          <w:color w:val="auto"/>
          <w:sz w:val="21"/>
          <w:szCs w:val="21"/>
          <w:u w:val="none"/>
        </w:rPr>
        <w:t>Ⅱ类门特</w:t>
      </w:r>
      <w:r>
        <w:rPr>
          <w:rStyle w:val="9"/>
          <w:rFonts w:hint="eastAsia" w:ascii="仿宋_GB2312" w:eastAsia="仿宋_GB2312"/>
          <w:color w:val="auto"/>
          <w:sz w:val="21"/>
          <w:szCs w:val="21"/>
          <w:u w:val="none"/>
        </w:rPr>
        <w:t>：</w:t>
      </w:r>
      <w:r>
        <w:rPr>
          <w:rStyle w:val="10"/>
          <w:rFonts w:hint="eastAsia" w:ascii="仿宋_GB2312" w:eastAsia="仿宋_GB2312"/>
          <w:color w:val="auto"/>
          <w:sz w:val="21"/>
          <w:szCs w:val="21"/>
        </w:rPr>
        <w:t>恶性肿瘤放化疗期、白血病、骨髓增生异常综合征、耐多药肺结核、肾功衰透析治疗、器官移植术后抗排异治疗、再生障碍性贫血、地中海贫血、精神分裂症、血友病、小儿脑瘫、艾滋病机会性感染、肝豆状核变性、帕金森氏病、系统性红斑狼疮、普拉德</w:t>
      </w:r>
      <w:r>
        <w:rPr>
          <w:rStyle w:val="10"/>
          <w:rFonts w:ascii="仿宋_GB2312" w:eastAsia="仿宋_GB2312"/>
          <w:color w:val="auto"/>
          <w:sz w:val="21"/>
          <w:szCs w:val="21"/>
        </w:rPr>
        <w:t>-</w:t>
      </w:r>
      <w:r>
        <w:rPr>
          <w:rStyle w:val="10"/>
          <w:rFonts w:hint="eastAsia" w:ascii="仿宋_GB2312" w:eastAsia="仿宋_GB2312"/>
          <w:color w:val="auto"/>
          <w:sz w:val="21"/>
          <w:szCs w:val="21"/>
        </w:rPr>
        <w:t>威利综合征、原发性生长激素缺乏症。</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altName w:val="仿宋_GB2312"/>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1E1E"/>
    <w:rsid w:val="000453D4"/>
    <w:rsid w:val="001B0343"/>
    <w:rsid w:val="001E7E91"/>
    <w:rsid w:val="002524C0"/>
    <w:rsid w:val="002D4CB3"/>
    <w:rsid w:val="003568C7"/>
    <w:rsid w:val="003869B3"/>
    <w:rsid w:val="00461556"/>
    <w:rsid w:val="004A372D"/>
    <w:rsid w:val="004C5F99"/>
    <w:rsid w:val="00575C32"/>
    <w:rsid w:val="00794242"/>
    <w:rsid w:val="007B5AC0"/>
    <w:rsid w:val="00832D34"/>
    <w:rsid w:val="008E152F"/>
    <w:rsid w:val="00A71E1E"/>
    <w:rsid w:val="00A96D05"/>
    <w:rsid w:val="00C042B5"/>
    <w:rsid w:val="00C5215E"/>
    <w:rsid w:val="00CC28F8"/>
    <w:rsid w:val="00CD44B4"/>
    <w:rsid w:val="00DA2D6E"/>
    <w:rsid w:val="00F2280F"/>
    <w:rsid w:val="00F87049"/>
    <w:rsid w:val="00F95606"/>
    <w:rsid w:val="00FA313A"/>
    <w:rsid w:val="07131066"/>
    <w:rsid w:val="15F037E7"/>
    <w:rsid w:val="1B307294"/>
    <w:rsid w:val="46ED284B"/>
    <w:rsid w:val="49476A89"/>
    <w:rsid w:val="519B605D"/>
    <w:rsid w:val="52723AF9"/>
    <w:rsid w:val="5EC8237C"/>
    <w:rsid w:val="61725565"/>
    <w:rsid w:val="6A0057F6"/>
    <w:rsid w:val="6DC737DD"/>
    <w:rsid w:val="75344AB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脚 Char"/>
    <w:basedOn w:val="6"/>
    <w:link w:val="2"/>
    <w:locked/>
    <w:uiPriority w:val="99"/>
    <w:rPr>
      <w:rFonts w:cs="Times New Roman"/>
      <w:kern w:val="2"/>
      <w:sz w:val="18"/>
      <w:szCs w:val="18"/>
    </w:rPr>
  </w:style>
  <w:style w:type="character" w:customStyle="1" w:styleId="8">
    <w:name w:val="页眉 Char"/>
    <w:basedOn w:val="6"/>
    <w:link w:val="3"/>
    <w:qFormat/>
    <w:locked/>
    <w:uiPriority w:val="99"/>
    <w:rPr>
      <w:rFonts w:cs="Times New Roman"/>
      <w:kern w:val="2"/>
      <w:sz w:val="18"/>
      <w:szCs w:val="18"/>
    </w:rPr>
  </w:style>
  <w:style w:type="character" w:customStyle="1" w:styleId="9">
    <w:name w:val="font01"/>
    <w:basedOn w:val="6"/>
    <w:qFormat/>
    <w:uiPriority w:val="99"/>
    <w:rPr>
      <w:rFonts w:ascii="宋体" w:hAnsi="宋体" w:eastAsia="宋体" w:cs="宋体"/>
      <w:color w:val="000000"/>
      <w:sz w:val="24"/>
      <w:szCs w:val="24"/>
      <w:u w:val="single"/>
    </w:rPr>
  </w:style>
  <w:style w:type="character" w:customStyle="1" w:styleId="10">
    <w:name w:val="font21"/>
    <w:basedOn w:val="6"/>
    <w:qFormat/>
    <w:uiPriority w:val="99"/>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158</Words>
  <Characters>906</Characters>
  <Lines>7</Lines>
  <Paragraphs>2</Paragraphs>
  <TotalTime>160</TotalTime>
  <ScaleCrop>false</ScaleCrop>
  <LinksUpToDate>false</LinksUpToDate>
  <CharactersWithSpaces>1062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代娜</cp:lastModifiedBy>
  <cp:lastPrinted>2020-10-10T05:25:00Z</cp:lastPrinted>
  <dcterms:modified xsi:type="dcterms:W3CDTF">2021-03-09T02:26:58Z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