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E5E6F1">
      <w:pPr>
        <w:jc w:val="both"/>
        <w:rPr>
          <w:rFonts w:hint="default"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附件一：</w:t>
      </w:r>
    </w:p>
    <w:p w14:paraId="08995925">
      <w:pPr>
        <w:jc w:val="center"/>
        <w:rPr>
          <w:rFonts w:hint="eastAsia" w:ascii="仿宋" w:hAnsi="仿宋" w:eastAsia="仿宋" w:cs="仿宋"/>
          <w:b/>
          <w:bCs/>
          <w:color w:val="auto"/>
          <w:sz w:val="24"/>
          <w:szCs w:val="24"/>
          <w:lang w:eastAsia="zh-CN"/>
        </w:rPr>
      </w:pPr>
      <w:r>
        <w:rPr>
          <w:rFonts w:hint="eastAsia" w:ascii="仿宋" w:hAnsi="仿宋" w:eastAsia="仿宋" w:cs="仿宋"/>
          <w:b/>
          <w:bCs/>
          <w:color w:val="auto"/>
          <w:sz w:val="30"/>
          <w:szCs w:val="30"/>
        </w:rPr>
        <w:t>报价表</w:t>
      </w:r>
      <w:r>
        <w:rPr>
          <w:rFonts w:hint="eastAsia" w:ascii="仿宋" w:hAnsi="仿宋" w:eastAsia="仿宋" w:cs="仿宋"/>
          <w:b/>
          <w:bCs/>
          <w:color w:val="auto"/>
          <w:sz w:val="30"/>
          <w:szCs w:val="30"/>
          <w:lang w:eastAsia="zh-CN"/>
        </w:rPr>
        <w:t>（</w:t>
      </w:r>
      <w:r>
        <w:rPr>
          <w:rFonts w:hint="eastAsia" w:ascii="仿宋" w:hAnsi="仿宋" w:eastAsia="仿宋" w:cs="仿宋"/>
          <w:b/>
          <w:bCs/>
          <w:color w:val="auto"/>
          <w:sz w:val="30"/>
          <w:szCs w:val="30"/>
          <w:lang w:val="en-US" w:eastAsia="zh-CN"/>
        </w:rPr>
        <w:t>不允许改动格式，改动格式做无效报价</w:t>
      </w:r>
      <w:r>
        <w:rPr>
          <w:rFonts w:hint="eastAsia" w:ascii="仿宋" w:hAnsi="仿宋" w:eastAsia="仿宋" w:cs="仿宋"/>
          <w:b/>
          <w:bCs/>
          <w:color w:val="auto"/>
          <w:sz w:val="30"/>
          <w:szCs w:val="30"/>
          <w:lang w:eastAsia="zh-CN"/>
        </w:rPr>
        <w:t>）</w:t>
      </w:r>
    </w:p>
    <w:tbl>
      <w:tblPr>
        <w:tblStyle w:val="7"/>
        <w:tblW w:w="1382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60"/>
        <w:gridCol w:w="2202"/>
        <w:gridCol w:w="4025"/>
        <w:gridCol w:w="3314"/>
        <w:gridCol w:w="3323"/>
      </w:tblGrid>
      <w:tr w14:paraId="2313E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4" w:hRule="atLeast"/>
        </w:trPr>
        <w:tc>
          <w:tcPr>
            <w:tcW w:w="960" w:type="dxa"/>
            <w:tcBorders>
              <w:top w:val="single" w:color="000000" w:sz="12" w:space="0"/>
              <w:left w:val="single" w:color="000000" w:sz="12" w:space="0"/>
              <w:bottom w:val="single" w:color="000000" w:sz="8" w:space="0"/>
              <w:right w:val="single" w:color="000000" w:sz="8" w:space="0"/>
            </w:tcBorders>
            <w:shd w:val="clear" w:color="auto" w:fill="FFFFFF"/>
            <w:vAlign w:val="center"/>
          </w:tcPr>
          <w:p w14:paraId="6EB90FA2">
            <w:pPr>
              <w:keepNext w:val="0"/>
              <w:keepLines w:val="0"/>
              <w:widowControl/>
              <w:suppressLineNumbers w:val="0"/>
              <w:jc w:val="center"/>
              <w:textAlignment w:val="center"/>
              <w:rPr>
                <w:rFonts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序号</w:t>
            </w:r>
          </w:p>
        </w:tc>
        <w:tc>
          <w:tcPr>
            <w:tcW w:w="2202" w:type="dxa"/>
            <w:tcBorders>
              <w:top w:val="single" w:color="000000" w:sz="12" w:space="0"/>
              <w:left w:val="single" w:color="000000" w:sz="8" w:space="0"/>
              <w:bottom w:val="single" w:color="000000" w:sz="8" w:space="0"/>
              <w:right w:val="single" w:color="000000" w:sz="8" w:space="0"/>
            </w:tcBorders>
            <w:shd w:val="clear" w:color="auto" w:fill="FFFFFF"/>
            <w:vAlign w:val="center"/>
          </w:tcPr>
          <w:p w14:paraId="00229435">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服务内容</w:t>
            </w:r>
          </w:p>
        </w:tc>
        <w:tc>
          <w:tcPr>
            <w:tcW w:w="4025" w:type="dxa"/>
            <w:tcBorders>
              <w:top w:val="single" w:color="000000" w:sz="12" w:space="0"/>
              <w:left w:val="single" w:color="000000" w:sz="8" w:space="0"/>
              <w:bottom w:val="single" w:color="000000" w:sz="8" w:space="0"/>
              <w:right w:val="single" w:color="000000" w:sz="8" w:space="0"/>
            </w:tcBorders>
            <w:shd w:val="clear" w:color="auto" w:fill="FFFFFF"/>
            <w:vAlign w:val="center"/>
          </w:tcPr>
          <w:p w14:paraId="50E80648">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服务期限</w:t>
            </w:r>
          </w:p>
        </w:tc>
        <w:tc>
          <w:tcPr>
            <w:tcW w:w="3314" w:type="dxa"/>
            <w:tcBorders>
              <w:top w:val="single" w:color="000000" w:sz="12" w:space="0"/>
              <w:left w:val="single" w:color="000000" w:sz="8" w:space="0"/>
              <w:bottom w:val="single" w:color="000000" w:sz="8" w:space="0"/>
              <w:right w:val="single" w:color="000000" w:sz="8" w:space="0"/>
            </w:tcBorders>
            <w:shd w:val="clear" w:color="auto" w:fill="FFFFFF"/>
            <w:vAlign w:val="center"/>
          </w:tcPr>
          <w:p w14:paraId="3DA21F3B">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折扣率（%）</w:t>
            </w:r>
          </w:p>
        </w:tc>
        <w:tc>
          <w:tcPr>
            <w:tcW w:w="3323" w:type="dxa"/>
            <w:tcBorders>
              <w:top w:val="single" w:color="000000" w:sz="12" w:space="0"/>
              <w:left w:val="single" w:color="000000" w:sz="8" w:space="0"/>
              <w:bottom w:val="single" w:color="000000" w:sz="8" w:space="0"/>
              <w:right w:val="single" w:color="000000" w:sz="12" w:space="0"/>
            </w:tcBorders>
            <w:shd w:val="clear" w:color="auto" w:fill="FFFFFF"/>
            <w:vAlign w:val="center"/>
          </w:tcPr>
          <w:p w14:paraId="2445E959">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备注</w:t>
            </w:r>
          </w:p>
        </w:tc>
      </w:tr>
      <w:tr w14:paraId="32F6A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2" w:hRule="atLeast"/>
        </w:trPr>
        <w:tc>
          <w:tcPr>
            <w:tcW w:w="960" w:type="dxa"/>
            <w:tcBorders>
              <w:top w:val="single" w:color="000000" w:sz="8" w:space="0"/>
              <w:left w:val="single" w:color="000000" w:sz="12" w:space="0"/>
              <w:bottom w:val="single" w:color="000000" w:sz="8" w:space="0"/>
              <w:right w:val="single" w:color="000000" w:sz="8" w:space="0"/>
            </w:tcBorders>
            <w:shd w:val="clear" w:color="auto" w:fill="FFFFFF"/>
            <w:vAlign w:val="center"/>
          </w:tcPr>
          <w:p w14:paraId="4E5E95C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220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ABE2B5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信息化项目咨询服务</w:t>
            </w:r>
          </w:p>
        </w:tc>
        <w:tc>
          <w:tcPr>
            <w:tcW w:w="402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AAB9F6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合同签订之日起1年。服务期满采购人对供应商的服务满意则可续签服务合同一年。</w:t>
            </w:r>
          </w:p>
        </w:tc>
        <w:tc>
          <w:tcPr>
            <w:tcW w:w="331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771C988">
            <w:pPr>
              <w:jc w:val="both"/>
              <w:rPr>
                <w:rFonts w:hint="eastAsia" w:ascii="仿宋" w:hAnsi="仿宋" w:eastAsia="仿宋" w:cs="仿宋"/>
                <w:i w:val="0"/>
                <w:iCs w:val="0"/>
                <w:color w:val="000000"/>
                <w:sz w:val="28"/>
                <w:szCs w:val="28"/>
                <w:u w:val="none"/>
              </w:rPr>
            </w:pPr>
          </w:p>
        </w:tc>
        <w:tc>
          <w:tcPr>
            <w:tcW w:w="3323"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3D8F49BD">
            <w:pPr>
              <w:jc w:val="both"/>
              <w:rPr>
                <w:rFonts w:hint="eastAsia" w:ascii="仿宋" w:hAnsi="仿宋" w:eastAsia="仿宋" w:cs="仿宋"/>
                <w:i w:val="0"/>
                <w:iCs w:val="0"/>
                <w:color w:val="000000"/>
                <w:sz w:val="28"/>
                <w:szCs w:val="28"/>
                <w:u w:val="none"/>
              </w:rPr>
            </w:pPr>
          </w:p>
        </w:tc>
      </w:tr>
    </w:tbl>
    <w:p w14:paraId="71646D14">
      <w:pPr>
        <w:pStyle w:val="3"/>
        <w:keepNext w:val="0"/>
        <w:keepLines w:val="0"/>
        <w:pageBreakBefore w:val="0"/>
        <w:numPr>
          <w:ilvl w:val="0"/>
          <w:numId w:val="0"/>
        </w:numPr>
        <w:kinsoku/>
        <w:wordWrap/>
        <w:overflowPunct/>
        <w:topLinePunct w:val="0"/>
        <w:autoSpaceDE/>
        <w:autoSpaceDN/>
        <w:bidi w:val="0"/>
        <w:adjustRightInd w:val="0"/>
        <w:snapToGrid w:val="0"/>
        <w:spacing w:after="0"/>
        <w:ind w:leftChars="0" w:firstLine="442" w:firstLineChars="200"/>
        <w:textAlignment w:val="auto"/>
        <w:rPr>
          <w:rFonts w:hint="default" w:ascii="仿宋" w:hAnsi="仿宋" w:eastAsia="仿宋" w:cs="仿宋"/>
          <w:b/>
          <w:bCs w:val="0"/>
          <w:color w:val="auto"/>
          <w:sz w:val="24"/>
          <w:lang w:val="en-US"/>
        </w:rPr>
      </w:pPr>
      <w:r>
        <w:rPr>
          <w:rFonts w:hint="eastAsia" w:ascii="仿宋" w:hAnsi="仿宋" w:eastAsia="仿宋" w:cs="仿宋"/>
          <w:b/>
          <w:bCs/>
          <w:color w:val="auto"/>
          <w:sz w:val="22"/>
          <w:szCs w:val="18"/>
        </w:rPr>
        <w:t>注：</w:t>
      </w:r>
      <w:r>
        <w:rPr>
          <w:rFonts w:hint="eastAsia" w:ascii="仿宋" w:hAnsi="仿宋" w:eastAsia="仿宋" w:cs="仿宋"/>
          <w:b w:val="0"/>
          <w:bCs w:val="0"/>
          <w:color w:val="auto"/>
          <w:sz w:val="22"/>
          <w:szCs w:val="18"/>
        </w:rPr>
        <w:t>供应商的报价是供应商响应本项目要求的全部工作内容的价格体现，包括供应商完成本项目所需的一切费用，报价</w:t>
      </w:r>
      <w:r>
        <w:rPr>
          <w:rFonts w:hint="eastAsia" w:ascii="仿宋" w:hAnsi="仿宋" w:eastAsia="仿宋" w:cs="仿宋"/>
          <w:b w:val="0"/>
          <w:bCs w:val="0"/>
          <w:color w:val="auto"/>
          <w:sz w:val="22"/>
          <w:szCs w:val="18"/>
          <w:lang w:eastAsia="zh-CN"/>
        </w:rPr>
        <w:t>（</w:t>
      </w:r>
      <w:r>
        <w:rPr>
          <w:rFonts w:hint="eastAsia" w:ascii="仿宋" w:hAnsi="仿宋" w:eastAsia="仿宋" w:cs="仿宋"/>
          <w:b w:val="0"/>
          <w:bCs w:val="0"/>
          <w:color w:val="auto"/>
          <w:sz w:val="22"/>
          <w:szCs w:val="18"/>
          <w:lang w:val="en-US" w:eastAsia="zh-CN"/>
        </w:rPr>
        <w:t>折扣率</w:t>
      </w:r>
      <w:r>
        <w:rPr>
          <w:rFonts w:hint="eastAsia" w:ascii="仿宋" w:hAnsi="仿宋" w:eastAsia="仿宋" w:cs="仿宋"/>
          <w:b w:val="0"/>
          <w:bCs w:val="0"/>
          <w:color w:val="auto"/>
          <w:sz w:val="22"/>
          <w:szCs w:val="18"/>
          <w:lang w:eastAsia="zh-CN"/>
        </w:rPr>
        <w:t>）</w:t>
      </w:r>
      <w:r>
        <w:rPr>
          <w:rFonts w:hint="eastAsia" w:ascii="仿宋" w:hAnsi="仿宋" w:eastAsia="仿宋" w:cs="仿宋"/>
          <w:b w:val="0"/>
          <w:bCs w:val="0"/>
          <w:color w:val="auto"/>
          <w:sz w:val="22"/>
          <w:szCs w:val="18"/>
        </w:rPr>
        <w:t>为包干价</w:t>
      </w:r>
      <w:r>
        <w:rPr>
          <w:rFonts w:hint="eastAsia" w:ascii="仿宋" w:hAnsi="仿宋" w:eastAsia="仿宋" w:cs="仿宋"/>
          <w:b w:val="0"/>
          <w:bCs w:val="0"/>
          <w:color w:val="auto"/>
          <w:sz w:val="22"/>
          <w:szCs w:val="18"/>
          <w:lang w:val="zh-CN"/>
        </w:rPr>
        <w:t>，</w:t>
      </w:r>
      <w:r>
        <w:rPr>
          <w:rFonts w:hint="eastAsia" w:ascii="仿宋" w:hAnsi="仿宋" w:eastAsia="仿宋" w:cs="仿宋"/>
          <w:b w:val="0"/>
          <w:bCs w:val="0"/>
          <w:color w:val="auto"/>
          <w:sz w:val="22"/>
          <w:szCs w:val="18"/>
        </w:rPr>
        <w:t>在履约过程中成交人不得以任何理由要求</w:t>
      </w:r>
      <w:r>
        <w:rPr>
          <w:rFonts w:hint="eastAsia" w:ascii="仿宋" w:hAnsi="仿宋" w:eastAsia="仿宋" w:cs="仿宋"/>
          <w:b w:val="0"/>
          <w:bCs w:val="0"/>
          <w:color w:val="auto"/>
          <w:sz w:val="22"/>
          <w:szCs w:val="18"/>
          <w:lang w:val="en-US" w:eastAsia="zh-CN"/>
        </w:rPr>
        <w:t>采购</w:t>
      </w:r>
      <w:r>
        <w:rPr>
          <w:rFonts w:hint="eastAsia" w:ascii="仿宋" w:hAnsi="仿宋" w:eastAsia="仿宋" w:cs="仿宋"/>
          <w:b w:val="0"/>
          <w:bCs w:val="0"/>
          <w:color w:val="auto"/>
          <w:sz w:val="22"/>
          <w:szCs w:val="18"/>
        </w:rPr>
        <w:t>人支付其他费用。供应商每种</w:t>
      </w:r>
      <w:r>
        <w:rPr>
          <w:rFonts w:hint="eastAsia" w:ascii="仿宋" w:hAnsi="仿宋" w:eastAsia="仿宋" w:cs="仿宋"/>
          <w:b w:val="0"/>
          <w:bCs w:val="0"/>
          <w:color w:val="auto"/>
          <w:sz w:val="22"/>
          <w:szCs w:val="18"/>
          <w:lang w:val="en-US" w:eastAsia="zh-CN"/>
        </w:rPr>
        <w:t>产品</w:t>
      </w:r>
      <w:r>
        <w:rPr>
          <w:rFonts w:hint="eastAsia" w:ascii="仿宋" w:hAnsi="仿宋" w:eastAsia="仿宋" w:cs="仿宋"/>
          <w:b w:val="0"/>
          <w:bCs w:val="0"/>
          <w:color w:val="auto"/>
          <w:sz w:val="22"/>
          <w:szCs w:val="18"/>
        </w:rPr>
        <w:t>只允许有一个报价，并且在合同履行过程中是固定不变的，任何有选择或可调整的报价将不予接受，并按无效投标处理。</w:t>
      </w:r>
      <w:r>
        <w:rPr>
          <w:rFonts w:hint="eastAsia" w:ascii="仿宋" w:hAnsi="仿宋" w:eastAsia="仿宋" w:cs="仿宋"/>
          <w:b/>
          <w:bCs/>
          <w:color w:val="auto"/>
          <w:sz w:val="22"/>
          <w:szCs w:val="18"/>
          <w:lang w:val="en-US" w:eastAsia="zh-CN" w:bidi="ar-SA"/>
        </w:rPr>
        <w:t>报价最多保留小数点后两位</w:t>
      </w:r>
      <w:r>
        <w:rPr>
          <w:rFonts w:hint="eastAsia" w:ascii="仿宋" w:hAnsi="仿宋" w:eastAsia="仿宋" w:cs="仿宋"/>
          <w:b/>
          <w:bCs/>
          <w:color w:val="auto"/>
          <w:sz w:val="22"/>
          <w:szCs w:val="22"/>
          <w:lang w:val="en-US" w:eastAsia="zh-CN"/>
        </w:rPr>
        <w:t>。超过最高限价的报价视为无效报价</w:t>
      </w:r>
    </w:p>
    <w:p w14:paraId="1D2E3575">
      <w:pPr>
        <w:spacing w:line="240" w:lineRule="auto"/>
        <w:rPr>
          <w:rFonts w:hint="eastAsia" w:ascii="仿宋" w:hAnsi="仿宋" w:eastAsia="仿宋" w:cs="仿宋"/>
          <w:b/>
          <w:bCs w:val="0"/>
          <w:color w:val="auto"/>
          <w:sz w:val="24"/>
        </w:rPr>
      </w:pPr>
    </w:p>
    <w:p w14:paraId="4C52C88B">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仿宋" w:hAnsi="仿宋" w:eastAsia="仿宋" w:cs="仿宋"/>
          <w:b/>
          <w:bCs w:val="0"/>
          <w:color w:val="auto"/>
          <w:kern w:val="2"/>
          <w:sz w:val="24"/>
          <w:szCs w:val="22"/>
        </w:rPr>
      </w:pPr>
      <w:r>
        <w:rPr>
          <w:rFonts w:hint="eastAsia" w:ascii="仿宋" w:hAnsi="仿宋" w:eastAsia="仿宋" w:cs="仿宋"/>
          <w:b/>
          <w:bCs w:val="0"/>
          <w:color w:val="auto"/>
          <w:sz w:val="24"/>
        </w:rPr>
        <w:t>供应商</w:t>
      </w:r>
      <w:r>
        <w:rPr>
          <w:rFonts w:hint="eastAsia" w:ascii="仿宋" w:hAnsi="仿宋" w:eastAsia="仿宋" w:cs="仿宋"/>
          <w:b/>
          <w:bCs w:val="0"/>
          <w:color w:val="auto"/>
          <w:kern w:val="2"/>
          <w:sz w:val="24"/>
          <w:szCs w:val="22"/>
        </w:rPr>
        <w:t>名称：      （盖章）</w:t>
      </w:r>
    </w:p>
    <w:p w14:paraId="057A23A3">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仿宋" w:hAnsi="仿宋" w:eastAsia="仿宋" w:cs="仿宋"/>
          <w:b/>
          <w:bCs w:val="0"/>
          <w:color w:val="auto"/>
          <w:kern w:val="2"/>
          <w:sz w:val="24"/>
          <w:szCs w:val="22"/>
        </w:rPr>
      </w:pPr>
      <w:r>
        <w:rPr>
          <w:rFonts w:hint="eastAsia" w:ascii="仿宋" w:hAnsi="仿宋" w:eastAsia="仿宋" w:cs="仿宋"/>
          <w:b/>
          <w:bCs w:val="0"/>
          <w:color w:val="auto"/>
          <w:kern w:val="2"/>
          <w:sz w:val="24"/>
          <w:szCs w:val="22"/>
        </w:rPr>
        <w:t>法定代表人或授权代表（签字）：</w:t>
      </w:r>
    </w:p>
    <w:p w14:paraId="7ABB1B10">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仿宋" w:hAnsi="仿宋" w:eastAsia="仿宋" w:cs="仿宋"/>
          <w:b/>
          <w:bCs w:val="0"/>
          <w:color w:val="auto"/>
          <w:kern w:val="2"/>
          <w:sz w:val="24"/>
          <w:szCs w:val="22"/>
          <w:lang w:val="en-US" w:eastAsia="zh-CN"/>
        </w:rPr>
      </w:pPr>
      <w:r>
        <w:rPr>
          <w:rFonts w:hint="eastAsia" w:ascii="仿宋" w:hAnsi="仿宋" w:eastAsia="仿宋" w:cs="仿宋"/>
          <w:b/>
          <w:bCs w:val="0"/>
          <w:color w:val="auto"/>
          <w:kern w:val="2"/>
          <w:sz w:val="24"/>
          <w:szCs w:val="22"/>
          <w:lang w:val="en-US" w:eastAsia="zh-CN"/>
        </w:rPr>
        <w:t>联系方式：</w:t>
      </w:r>
    </w:p>
    <w:p w14:paraId="238FC4AA">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仿宋" w:hAnsi="仿宋" w:eastAsia="仿宋" w:cs="仿宋"/>
          <w:b/>
          <w:bCs w:val="0"/>
          <w:color w:val="auto"/>
          <w:kern w:val="2"/>
          <w:sz w:val="24"/>
          <w:szCs w:val="22"/>
        </w:rPr>
      </w:pPr>
      <w:r>
        <w:rPr>
          <w:rFonts w:hint="eastAsia" w:ascii="仿宋" w:hAnsi="仿宋" w:eastAsia="仿宋" w:cs="仿宋"/>
          <w:b/>
          <w:bCs w:val="0"/>
          <w:color w:val="auto"/>
          <w:kern w:val="2"/>
          <w:sz w:val="24"/>
          <w:szCs w:val="22"/>
        </w:rPr>
        <w:t>日期:</w:t>
      </w:r>
    </w:p>
    <w:p w14:paraId="125A3E1D">
      <w:pPr>
        <w:rPr>
          <w:rFonts w:hint="eastAsia" w:ascii="仿宋" w:hAnsi="仿宋" w:eastAsia="仿宋" w:cs="仿宋"/>
          <w:b/>
          <w:bCs w:val="0"/>
          <w:color w:val="auto"/>
          <w:kern w:val="2"/>
          <w:sz w:val="24"/>
          <w:szCs w:val="22"/>
        </w:rPr>
      </w:pPr>
      <w:r>
        <w:rPr>
          <w:rFonts w:hint="eastAsia" w:ascii="仿宋" w:hAnsi="仿宋" w:eastAsia="仿宋" w:cs="仿宋"/>
          <w:b/>
          <w:bCs w:val="0"/>
          <w:color w:val="auto"/>
          <w:kern w:val="2"/>
          <w:sz w:val="24"/>
          <w:szCs w:val="22"/>
        </w:rPr>
        <w:br w:type="page"/>
      </w:r>
    </w:p>
    <w:p w14:paraId="16E3BB31">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仿宋" w:hAnsi="仿宋" w:eastAsia="仿宋" w:cs="仿宋"/>
          <w:b/>
          <w:bCs w:val="0"/>
          <w:color w:val="auto"/>
          <w:kern w:val="2"/>
          <w:sz w:val="24"/>
          <w:szCs w:val="22"/>
          <w:lang w:val="en-US" w:eastAsia="zh-CN"/>
        </w:r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rtlGutter w:val="0"/>
          <w:docGrid w:type="lines" w:linePitch="488" w:charSpace="0"/>
        </w:sectPr>
      </w:pPr>
    </w:p>
    <w:p w14:paraId="55D530A8">
      <w:pPr>
        <w:rPr>
          <w:rFonts w:hint="eastAsia" w:ascii="仿宋" w:hAnsi="仿宋" w:eastAsia="仿宋" w:cs="仿宋"/>
          <w:b/>
          <w:bCs w:val="0"/>
          <w:color w:val="auto"/>
          <w:kern w:val="2"/>
          <w:sz w:val="24"/>
          <w:szCs w:val="22"/>
          <w:lang w:val="en-US" w:eastAsia="zh-CN"/>
        </w:rPr>
      </w:pPr>
      <w:r>
        <w:rPr>
          <w:rFonts w:hint="eastAsia" w:ascii="仿宋" w:hAnsi="仿宋" w:eastAsia="仿宋" w:cs="仿宋"/>
          <w:b/>
          <w:bCs w:val="0"/>
          <w:color w:val="auto"/>
          <w:kern w:val="2"/>
          <w:sz w:val="24"/>
          <w:szCs w:val="22"/>
          <w:lang w:val="en-US" w:eastAsia="zh-CN"/>
        </w:rPr>
        <w:t xml:space="preserve">附件二、  </w:t>
      </w:r>
    </w:p>
    <w:p w14:paraId="5B93F5CF">
      <w:pPr>
        <w:jc w:val="center"/>
        <w:rPr>
          <w:rFonts w:hint="default" w:ascii="仿宋" w:hAnsi="仿宋" w:eastAsia="仿宋" w:cs="仿宋"/>
          <w:b/>
          <w:bCs w:val="0"/>
          <w:color w:val="auto"/>
          <w:kern w:val="2"/>
          <w:sz w:val="24"/>
          <w:szCs w:val="22"/>
          <w:lang w:val="en-US" w:eastAsia="zh-CN"/>
        </w:rPr>
      </w:pPr>
      <w:r>
        <w:rPr>
          <w:rFonts w:hint="eastAsia" w:ascii="仿宋" w:hAnsi="仿宋" w:eastAsia="仿宋" w:cs="仿宋"/>
          <w:b/>
          <w:bCs w:val="0"/>
          <w:color w:val="auto"/>
          <w:kern w:val="2"/>
          <w:sz w:val="24"/>
          <w:szCs w:val="22"/>
          <w:lang w:val="en-US" w:eastAsia="zh-CN"/>
        </w:rPr>
        <w:t>服务内容及要求</w:t>
      </w:r>
    </w:p>
    <w:p w14:paraId="6C9EB553">
      <w:pPr>
        <w:rPr>
          <w:rFonts w:hint="default" w:ascii="仿宋" w:hAnsi="仿宋" w:eastAsia="仿宋" w:cs="仿宋"/>
          <w:b/>
          <w:bCs w:val="0"/>
          <w:color w:val="auto"/>
          <w:kern w:val="2"/>
          <w:sz w:val="24"/>
          <w:szCs w:val="22"/>
          <w:lang w:val="en-US" w:eastAsia="zh-CN"/>
        </w:rPr>
      </w:pPr>
      <w:r>
        <w:rPr>
          <w:rFonts w:hint="eastAsia" w:ascii="仿宋" w:hAnsi="仿宋" w:eastAsia="仿宋" w:cs="仿宋"/>
          <w:b/>
          <w:bCs w:val="0"/>
          <w:color w:val="auto"/>
          <w:kern w:val="2"/>
          <w:sz w:val="24"/>
          <w:szCs w:val="22"/>
          <w:lang w:val="en-US" w:eastAsia="zh-CN"/>
        </w:rPr>
        <w:t>一、收费标准（实质性要求）</w:t>
      </w:r>
    </w:p>
    <w:tbl>
      <w:tblPr>
        <w:tblStyle w:val="7"/>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7"/>
        <w:gridCol w:w="1681"/>
        <w:gridCol w:w="1237"/>
        <w:gridCol w:w="4775"/>
      </w:tblGrid>
      <w:tr w14:paraId="24A48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46FE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序号</w:t>
            </w:r>
          </w:p>
        </w:tc>
        <w:tc>
          <w:tcPr>
            <w:tcW w:w="16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5C68A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计费基数 </w:t>
            </w:r>
            <w:r>
              <w:rPr>
                <w:rFonts w:hint="default" w:ascii="仿宋" w:hAnsi="仿宋" w:eastAsia="仿宋" w:cs="仿宋"/>
                <w:i w:val="0"/>
                <w:iCs w:val="0"/>
                <w:color w:val="000000"/>
                <w:kern w:val="0"/>
                <w:sz w:val="24"/>
                <w:szCs w:val="24"/>
                <w:u w:val="none"/>
                <w:lang w:val="en-US" w:eastAsia="zh-CN" w:bidi="ar"/>
              </w:rPr>
              <w:t>M(</w:t>
            </w:r>
            <w:r>
              <w:rPr>
                <w:rFonts w:hint="eastAsia" w:ascii="仿宋" w:hAnsi="仿宋" w:eastAsia="仿宋" w:cs="仿宋"/>
                <w:i w:val="0"/>
                <w:iCs w:val="0"/>
                <w:color w:val="000000"/>
                <w:kern w:val="0"/>
                <w:sz w:val="24"/>
                <w:szCs w:val="24"/>
                <w:u w:val="none"/>
                <w:lang w:val="en-US" w:eastAsia="zh-CN" w:bidi="ar"/>
              </w:rPr>
              <w:t>万元</w:t>
            </w:r>
            <w:r>
              <w:rPr>
                <w:rFonts w:hint="default" w:ascii="仿宋" w:hAnsi="仿宋" w:eastAsia="仿宋" w:cs="仿宋"/>
                <w:i w:val="0"/>
                <w:iCs w:val="0"/>
                <w:color w:val="000000"/>
                <w:kern w:val="0"/>
                <w:sz w:val="24"/>
                <w:szCs w:val="24"/>
                <w:u w:val="none"/>
                <w:lang w:val="en-US" w:eastAsia="zh-CN" w:bidi="ar"/>
              </w:rPr>
              <w:t>)</w:t>
            </w:r>
          </w:p>
        </w:tc>
        <w:tc>
          <w:tcPr>
            <w:tcW w:w="12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9F2A7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收费标准</w:t>
            </w:r>
          </w:p>
        </w:tc>
        <w:tc>
          <w:tcPr>
            <w:tcW w:w="47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E09E9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1847E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6A65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16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C3C91E">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default" w:ascii="仿宋" w:hAnsi="仿宋" w:eastAsia="仿宋" w:cs="仿宋"/>
                <w:i w:val="0"/>
                <w:iCs w:val="0"/>
                <w:color w:val="000000"/>
                <w:kern w:val="0"/>
                <w:sz w:val="24"/>
                <w:szCs w:val="24"/>
                <w:u w:val="none"/>
                <w:lang w:val="en-US" w:eastAsia="zh-CN" w:bidi="ar"/>
              </w:rPr>
              <w:t>M</w:t>
            </w:r>
            <w:r>
              <w:rPr>
                <w:rFonts w:hint="eastAsia" w:ascii="仿宋" w:hAnsi="仿宋" w:eastAsia="仿宋" w:cs="仿宋"/>
                <w:i w:val="0"/>
                <w:iCs w:val="0"/>
                <w:color w:val="000000"/>
                <w:kern w:val="0"/>
                <w:sz w:val="24"/>
                <w:szCs w:val="24"/>
                <w:u w:val="none"/>
                <w:lang w:val="en-US" w:eastAsia="zh-CN" w:bidi="ar"/>
              </w:rPr>
              <w:t>≤</w:t>
            </w:r>
            <w:r>
              <w:rPr>
                <w:rFonts w:hint="default" w:ascii="仿宋" w:hAnsi="仿宋" w:eastAsia="仿宋" w:cs="仿宋"/>
                <w:i w:val="0"/>
                <w:iCs w:val="0"/>
                <w:color w:val="000000"/>
                <w:kern w:val="0"/>
                <w:sz w:val="24"/>
                <w:szCs w:val="24"/>
                <w:u w:val="none"/>
                <w:lang w:val="en-US" w:eastAsia="zh-CN" w:bidi="ar"/>
              </w:rPr>
              <w:t>200</w:t>
            </w:r>
          </w:p>
        </w:tc>
        <w:tc>
          <w:tcPr>
            <w:tcW w:w="12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ED30DA">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default" w:ascii="仿宋" w:hAnsi="仿宋" w:eastAsia="仿宋" w:cs="仿宋"/>
                <w:i w:val="0"/>
                <w:iCs w:val="0"/>
                <w:color w:val="000000"/>
                <w:kern w:val="0"/>
                <w:sz w:val="24"/>
                <w:szCs w:val="24"/>
                <w:u w:val="none"/>
                <w:lang w:val="en-US" w:eastAsia="zh-CN" w:bidi="ar"/>
              </w:rPr>
              <w:t>8‰</w:t>
            </w:r>
          </w:p>
        </w:tc>
        <w:tc>
          <w:tcPr>
            <w:tcW w:w="47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6194C3C">
            <w:pPr>
              <w:keepNext w:val="0"/>
              <w:keepLines w:val="0"/>
              <w:widowControl/>
              <w:suppressLineNumbers w:val="0"/>
              <w:jc w:val="both"/>
              <w:textAlignment w:val="center"/>
              <w:rPr>
                <w:rFonts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供应商收费标准根据上表按差额定率累进法进行计算。在此基础上，供应商报结算折扣率。</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结算折扣率最多保留小数点后2位，如90%、90.1%、90.12%为有效报价格式，其余格式（90.123%、90.1234%或其他格式）均为无效报价格式。</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举例，某信息化项目送审投资为1800万元，供应商所报结算折扣率为80%，则供应商收费={200×8‰+300×7.3‰+500×6.4‰+800×5.3‰}×80%=8.98万元。</w:t>
            </w:r>
          </w:p>
        </w:tc>
      </w:tr>
      <w:tr w14:paraId="5BACE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B650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16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ADE49D">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default" w:ascii="仿宋" w:hAnsi="仿宋" w:eastAsia="仿宋" w:cs="仿宋"/>
                <w:i w:val="0"/>
                <w:iCs w:val="0"/>
                <w:color w:val="000000"/>
                <w:kern w:val="0"/>
                <w:sz w:val="24"/>
                <w:szCs w:val="24"/>
                <w:u w:val="none"/>
                <w:lang w:val="en-US" w:eastAsia="zh-CN" w:bidi="ar"/>
              </w:rPr>
              <w:t>200&lt;M</w:t>
            </w:r>
            <w:r>
              <w:rPr>
                <w:rFonts w:hint="eastAsia" w:ascii="仿宋" w:hAnsi="仿宋" w:eastAsia="仿宋" w:cs="仿宋"/>
                <w:i w:val="0"/>
                <w:iCs w:val="0"/>
                <w:color w:val="000000"/>
                <w:kern w:val="0"/>
                <w:sz w:val="24"/>
                <w:szCs w:val="24"/>
                <w:u w:val="none"/>
                <w:lang w:val="en-US" w:eastAsia="zh-CN" w:bidi="ar"/>
              </w:rPr>
              <w:t>≤</w:t>
            </w:r>
            <w:r>
              <w:rPr>
                <w:rFonts w:hint="default" w:ascii="仿宋" w:hAnsi="仿宋" w:eastAsia="仿宋" w:cs="仿宋"/>
                <w:i w:val="0"/>
                <w:iCs w:val="0"/>
                <w:color w:val="000000"/>
                <w:kern w:val="0"/>
                <w:sz w:val="24"/>
                <w:szCs w:val="24"/>
                <w:u w:val="none"/>
                <w:lang w:val="en-US" w:eastAsia="zh-CN" w:bidi="ar"/>
              </w:rPr>
              <w:t>500</w:t>
            </w:r>
          </w:p>
        </w:tc>
        <w:tc>
          <w:tcPr>
            <w:tcW w:w="12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4CB4DC">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default" w:ascii="仿宋" w:hAnsi="仿宋" w:eastAsia="仿宋" w:cs="仿宋"/>
                <w:i w:val="0"/>
                <w:iCs w:val="0"/>
                <w:color w:val="000000"/>
                <w:kern w:val="0"/>
                <w:sz w:val="24"/>
                <w:szCs w:val="24"/>
                <w:u w:val="none"/>
                <w:lang w:val="en-US" w:eastAsia="zh-CN" w:bidi="ar"/>
              </w:rPr>
              <w:t>7.3‰</w:t>
            </w:r>
          </w:p>
        </w:tc>
        <w:tc>
          <w:tcPr>
            <w:tcW w:w="4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9645C73">
            <w:pPr>
              <w:jc w:val="both"/>
              <w:rPr>
                <w:rFonts w:hint="eastAsia" w:ascii="仿宋" w:hAnsi="仿宋" w:eastAsia="仿宋" w:cs="仿宋"/>
                <w:i w:val="0"/>
                <w:iCs w:val="0"/>
                <w:color w:val="000000"/>
                <w:sz w:val="24"/>
                <w:szCs w:val="24"/>
                <w:u w:val="none"/>
              </w:rPr>
            </w:pPr>
          </w:p>
        </w:tc>
      </w:tr>
      <w:tr w14:paraId="5B628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E67E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16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FBC823">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default" w:ascii="仿宋" w:hAnsi="仿宋" w:eastAsia="仿宋" w:cs="仿宋"/>
                <w:i w:val="0"/>
                <w:iCs w:val="0"/>
                <w:color w:val="000000"/>
                <w:kern w:val="0"/>
                <w:sz w:val="24"/>
                <w:szCs w:val="24"/>
                <w:u w:val="none"/>
                <w:lang w:val="en-US" w:eastAsia="zh-CN" w:bidi="ar"/>
              </w:rPr>
              <w:t>500&lt;M</w:t>
            </w:r>
            <w:r>
              <w:rPr>
                <w:rFonts w:hint="eastAsia" w:ascii="仿宋" w:hAnsi="仿宋" w:eastAsia="仿宋" w:cs="仿宋"/>
                <w:i w:val="0"/>
                <w:iCs w:val="0"/>
                <w:color w:val="000000"/>
                <w:kern w:val="0"/>
                <w:sz w:val="24"/>
                <w:szCs w:val="24"/>
                <w:u w:val="none"/>
                <w:lang w:val="en-US" w:eastAsia="zh-CN" w:bidi="ar"/>
              </w:rPr>
              <w:t>≤</w:t>
            </w:r>
            <w:r>
              <w:rPr>
                <w:rFonts w:hint="default" w:ascii="仿宋" w:hAnsi="仿宋" w:eastAsia="仿宋" w:cs="仿宋"/>
                <w:i w:val="0"/>
                <w:iCs w:val="0"/>
                <w:color w:val="000000"/>
                <w:kern w:val="0"/>
                <w:sz w:val="24"/>
                <w:szCs w:val="24"/>
                <w:u w:val="none"/>
                <w:lang w:val="en-US" w:eastAsia="zh-CN" w:bidi="ar"/>
              </w:rPr>
              <w:t>1000</w:t>
            </w:r>
          </w:p>
        </w:tc>
        <w:tc>
          <w:tcPr>
            <w:tcW w:w="12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81EAD8">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default" w:ascii="仿宋" w:hAnsi="仿宋" w:eastAsia="仿宋" w:cs="仿宋"/>
                <w:i w:val="0"/>
                <w:iCs w:val="0"/>
                <w:color w:val="000000"/>
                <w:kern w:val="0"/>
                <w:sz w:val="24"/>
                <w:szCs w:val="24"/>
                <w:u w:val="none"/>
                <w:lang w:val="en-US" w:eastAsia="zh-CN" w:bidi="ar"/>
              </w:rPr>
              <w:t>6.4‰</w:t>
            </w:r>
          </w:p>
        </w:tc>
        <w:tc>
          <w:tcPr>
            <w:tcW w:w="4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BC823C5">
            <w:pPr>
              <w:jc w:val="both"/>
              <w:rPr>
                <w:rFonts w:hint="eastAsia" w:ascii="仿宋" w:hAnsi="仿宋" w:eastAsia="仿宋" w:cs="仿宋"/>
                <w:i w:val="0"/>
                <w:iCs w:val="0"/>
                <w:color w:val="000000"/>
                <w:sz w:val="24"/>
                <w:szCs w:val="24"/>
                <w:u w:val="none"/>
              </w:rPr>
            </w:pPr>
          </w:p>
        </w:tc>
      </w:tr>
      <w:tr w14:paraId="09318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AD1D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16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2B6641">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default" w:ascii="仿宋" w:hAnsi="仿宋" w:eastAsia="仿宋" w:cs="仿宋"/>
                <w:i w:val="0"/>
                <w:iCs w:val="0"/>
                <w:color w:val="000000"/>
                <w:kern w:val="0"/>
                <w:sz w:val="24"/>
                <w:szCs w:val="24"/>
                <w:u w:val="none"/>
                <w:lang w:val="en-US" w:eastAsia="zh-CN" w:bidi="ar"/>
              </w:rPr>
              <w:t>1000&lt;M</w:t>
            </w:r>
            <w:r>
              <w:rPr>
                <w:rFonts w:hint="eastAsia" w:ascii="仿宋" w:hAnsi="仿宋" w:eastAsia="仿宋" w:cs="仿宋"/>
                <w:i w:val="0"/>
                <w:iCs w:val="0"/>
                <w:color w:val="000000"/>
                <w:kern w:val="0"/>
                <w:sz w:val="24"/>
                <w:szCs w:val="24"/>
                <w:u w:val="none"/>
                <w:lang w:val="en-US" w:eastAsia="zh-CN" w:bidi="ar"/>
              </w:rPr>
              <w:t>≤</w:t>
            </w:r>
            <w:r>
              <w:rPr>
                <w:rFonts w:hint="default" w:ascii="仿宋" w:hAnsi="仿宋" w:eastAsia="仿宋" w:cs="仿宋"/>
                <w:i w:val="0"/>
                <w:iCs w:val="0"/>
                <w:color w:val="000000"/>
                <w:kern w:val="0"/>
                <w:sz w:val="24"/>
                <w:szCs w:val="24"/>
                <w:u w:val="none"/>
                <w:lang w:val="en-US" w:eastAsia="zh-CN" w:bidi="ar"/>
              </w:rPr>
              <w:t>3000</w:t>
            </w:r>
          </w:p>
        </w:tc>
        <w:tc>
          <w:tcPr>
            <w:tcW w:w="12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6E7161">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default" w:ascii="仿宋" w:hAnsi="仿宋" w:eastAsia="仿宋" w:cs="仿宋"/>
                <w:i w:val="0"/>
                <w:iCs w:val="0"/>
                <w:color w:val="000000"/>
                <w:kern w:val="0"/>
                <w:sz w:val="24"/>
                <w:szCs w:val="24"/>
                <w:u w:val="none"/>
                <w:lang w:val="en-US" w:eastAsia="zh-CN" w:bidi="ar"/>
              </w:rPr>
              <w:t>5.3‰</w:t>
            </w:r>
          </w:p>
        </w:tc>
        <w:tc>
          <w:tcPr>
            <w:tcW w:w="4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F57147">
            <w:pPr>
              <w:jc w:val="both"/>
              <w:rPr>
                <w:rFonts w:hint="eastAsia" w:ascii="仿宋" w:hAnsi="仿宋" w:eastAsia="仿宋" w:cs="仿宋"/>
                <w:i w:val="0"/>
                <w:iCs w:val="0"/>
                <w:color w:val="000000"/>
                <w:sz w:val="24"/>
                <w:szCs w:val="24"/>
                <w:u w:val="none"/>
              </w:rPr>
            </w:pPr>
          </w:p>
        </w:tc>
      </w:tr>
      <w:tr w14:paraId="459C8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1009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c>
          <w:tcPr>
            <w:tcW w:w="16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3C6E6D">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default" w:ascii="仿宋" w:hAnsi="仿宋" w:eastAsia="仿宋" w:cs="仿宋"/>
                <w:i w:val="0"/>
                <w:iCs w:val="0"/>
                <w:color w:val="000000"/>
                <w:kern w:val="0"/>
                <w:sz w:val="24"/>
                <w:szCs w:val="24"/>
                <w:u w:val="none"/>
                <w:lang w:val="en-US" w:eastAsia="zh-CN" w:bidi="ar"/>
              </w:rPr>
              <w:t>3000&lt;M</w:t>
            </w:r>
          </w:p>
        </w:tc>
        <w:tc>
          <w:tcPr>
            <w:tcW w:w="12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044FCA">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default" w:ascii="仿宋" w:hAnsi="仿宋" w:eastAsia="仿宋" w:cs="仿宋"/>
                <w:i w:val="0"/>
                <w:iCs w:val="0"/>
                <w:color w:val="000000"/>
                <w:kern w:val="0"/>
                <w:sz w:val="24"/>
                <w:szCs w:val="24"/>
                <w:u w:val="none"/>
                <w:lang w:val="en-US" w:eastAsia="zh-CN" w:bidi="ar"/>
              </w:rPr>
              <w:t>4.9‰</w:t>
            </w:r>
          </w:p>
        </w:tc>
        <w:tc>
          <w:tcPr>
            <w:tcW w:w="4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07F704F">
            <w:pPr>
              <w:jc w:val="both"/>
              <w:rPr>
                <w:rFonts w:hint="eastAsia" w:ascii="仿宋" w:hAnsi="仿宋" w:eastAsia="仿宋" w:cs="仿宋"/>
                <w:i w:val="0"/>
                <w:iCs w:val="0"/>
                <w:color w:val="000000"/>
                <w:sz w:val="24"/>
                <w:szCs w:val="24"/>
                <w:u w:val="none"/>
              </w:rPr>
            </w:pPr>
          </w:p>
        </w:tc>
      </w:tr>
    </w:tbl>
    <w:p w14:paraId="6A280865">
      <w:pPr>
        <w:rPr>
          <w:rFonts w:hint="eastAsia" w:ascii="仿宋" w:hAnsi="仿宋" w:eastAsia="仿宋" w:cs="仿宋"/>
          <w:b/>
          <w:bCs w:val="0"/>
          <w:color w:val="auto"/>
          <w:kern w:val="2"/>
          <w:sz w:val="24"/>
          <w:szCs w:val="22"/>
          <w:lang w:val="en-US" w:eastAsia="zh-CN"/>
        </w:rPr>
      </w:pPr>
    </w:p>
    <w:p w14:paraId="40A4FEDC">
      <w:pPr>
        <w:numPr>
          <w:ilvl w:val="0"/>
          <w:numId w:val="0"/>
        </w:numPr>
        <w:rPr>
          <w:rFonts w:hint="eastAsia" w:ascii="仿宋" w:hAnsi="仿宋" w:eastAsia="仿宋" w:cs="仿宋"/>
          <w:b/>
          <w:bCs w:val="0"/>
          <w:color w:val="auto"/>
          <w:kern w:val="2"/>
          <w:sz w:val="24"/>
          <w:szCs w:val="22"/>
          <w:lang w:val="en-US" w:eastAsia="zh-CN"/>
        </w:rPr>
      </w:pPr>
      <w:r>
        <w:rPr>
          <w:rFonts w:hint="eastAsia" w:ascii="仿宋" w:hAnsi="仿宋" w:eastAsia="仿宋" w:cs="仿宋"/>
          <w:b/>
          <w:bCs w:val="0"/>
          <w:color w:val="auto"/>
          <w:kern w:val="2"/>
          <w:sz w:val="24"/>
          <w:szCs w:val="22"/>
          <w:lang w:val="en-US" w:eastAsia="zh-CN" w:bidi="ar-SA"/>
        </w:rPr>
        <w:t>二、</w:t>
      </w:r>
      <w:r>
        <w:rPr>
          <w:rFonts w:hint="eastAsia" w:ascii="仿宋" w:hAnsi="仿宋" w:eastAsia="仿宋" w:cs="仿宋"/>
          <w:b/>
          <w:bCs w:val="0"/>
          <w:color w:val="auto"/>
          <w:kern w:val="2"/>
          <w:sz w:val="24"/>
          <w:szCs w:val="22"/>
          <w:lang w:val="en-US" w:eastAsia="zh-CN"/>
        </w:rPr>
        <w:t>商务要求</w:t>
      </w:r>
    </w:p>
    <w:p w14:paraId="6378E270">
      <w:pPr>
        <w:keepNext w:val="0"/>
        <w:keepLines w:val="0"/>
        <w:pageBreakBefore w:val="0"/>
        <w:widowControl w:val="0"/>
        <w:numPr>
          <w:ilvl w:val="0"/>
          <w:numId w:val="0"/>
        </w:numPr>
        <w:kinsoku/>
        <w:wordWrap/>
        <w:overflowPunct/>
        <w:topLinePunct w:val="0"/>
        <w:autoSpaceDE/>
        <w:autoSpaceDN/>
        <w:bidi w:val="0"/>
        <w:adjustRightInd/>
        <w:snapToGrid/>
        <w:ind w:firstLine="484" w:firstLineChars="200"/>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1、服务期限：合同签订之日起1年。服务期满采购人对供应商的服务满意则可续签服务合同一年。</w:t>
      </w:r>
    </w:p>
    <w:p w14:paraId="04C99759">
      <w:pPr>
        <w:keepNext w:val="0"/>
        <w:keepLines w:val="0"/>
        <w:pageBreakBefore w:val="0"/>
        <w:widowControl w:val="0"/>
        <w:numPr>
          <w:ilvl w:val="0"/>
          <w:numId w:val="0"/>
        </w:numPr>
        <w:kinsoku/>
        <w:wordWrap/>
        <w:overflowPunct/>
        <w:topLinePunct w:val="0"/>
        <w:autoSpaceDE/>
        <w:autoSpaceDN/>
        <w:bidi w:val="0"/>
        <w:adjustRightInd/>
        <w:snapToGrid/>
        <w:ind w:firstLine="484" w:firstLineChars="200"/>
        <w:textAlignment w:val="auto"/>
        <w:rPr>
          <w:rFonts w:hint="default" w:ascii="宋体" w:hAnsi="宋体" w:eastAsia="宋体" w:cs="宋体"/>
          <w:snapToGrid w:val="0"/>
          <w:color w:val="000000"/>
          <w:spacing w:val="1"/>
          <w:kern w:val="0"/>
          <w:sz w:val="24"/>
          <w:szCs w:val="24"/>
          <w:lang w:val="en-US" w:eastAsia="zh-CN" w:bidi="ar-SA"/>
        </w:rPr>
      </w:pPr>
      <w:r>
        <w:rPr>
          <w:rFonts w:hint="default" w:ascii="宋体" w:hAnsi="宋体" w:eastAsia="宋体" w:cs="宋体"/>
          <w:snapToGrid w:val="0"/>
          <w:color w:val="000000"/>
          <w:spacing w:val="1"/>
          <w:kern w:val="0"/>
          <w:sz w:val="24"/>
          <w:szCs w:val="24"/>
          <w:lang w:val="en-US" w:eastAsia="zh-CN" w:bidi="ar-SA"/>
        </w:rPr>
        <w:t>2、</w:t>
      </w:r>
      <w:r>
        <w:rPr>
          <w:rFonts w:hint="eastAsia" w:ascii="宋体" w:hAnsi="宋体" w:eastAsia="宋体" w:cs="宋体"/>
          <w:snapToGrid w:val="0"/>
          <w:color w:val="000000"/>
          <w:spacing w:val="1"/>
          <w:kern w:val="0"/>
          <w:sz w:val="24"/>
          <w:szCs w:val="24"/>
          <w:lang w:val="en-US" w:eastAsia="zh-CN" w:bidi="ar-SA"/>
        </w:rPr>
        <w:t>服务地点：合江县人民医院。</w:t>
      </w:r>
    </w:p>
    <w:p w14:paraId="6CA5F934">
      <w:pPr>
        <w:keepNext w:val="0"/>
        <w:keepLines w:val="0"/>
        <w:pageBreakBefore w:val="0"/>
        <w:widowControl w:val="0"/>
        <w:numPr>
          <w:ilvl w:val="0"/>
          <w:numId w:val="0"/>
        </w:numPr>
        <w:kinsoku/>
        <w:wordWrap/>
        <w:overflowPunct/>
        <w:topLinePunct w:val="0"/>
        <w:autoSpaceDE/>
        <w:autoSpaceDN/>
        <w:bidi w:val="0"/>
        <w:adjustRightInd/>
        <w:snapToGrid/>
        <w:ind w:firstLine="484" w:firstLineChars="200"/>
        <w:textAlignment w:val="auto"/>
        <w:rPr>
          <w:rFonts w:hint="default" w:ascii="宋体" w:hAnsi="宋体" w:eastAsia="宋体" w:cs="宋体"/>
          <w:snapToGrid w:val="0"/>
          <w:color w:val="000000"/>
          <w:spacing w:val="1"/>
          <w:kern w:val="0"/>
          <w:sz w:val="24"/>
          <w:szCs w:val="24"/>
          <w:lang w:val="en-US" w:eastAsia="zh-CN" w:bidi="ar-SA"/>
        </w:rPr>
      </w:pPr>
      <w:r>
        <w:rPr>
          <w:rFonts w:hint="default" w:ascii="宋体" w:hAnsi="宋体" w:eastAsia="宋体" w:cs="宋体"/>
          <w:snapToGrid w:val="0"/>
          <w:color w:val="000000"/>
          <w:spacing w:val="1"/>
          <w:kern w:val="0"/>
          <w:sz w:val="24"/>
          <w:szCs w:val="24"/>
          <w:lang w:val="en-US" w:eastAsia="zh-CN" w:bidi="ar-SA"/>
        </w:rPr>
        <w:t>3、</w:t>
      </w:r>
      <w:r>
        <w:rPr>
          <w:rFonts w:hint="eastAsia" w:ascii="宋体" w:hAnsi="宋体" w:eastAsia="宋体" w:cs="宋体"/>
          <w:snapToGrid w:val="0"/>
          <w:color w:val="000000"/>
          <w:spacing w:val="1"/>
          <w:kern w:val="0"/>
          <w:sz w:val="24"/>
          <w:szCs w:val="24"/>
          <w:lang w:val="en-US" w:eastAsia="zh-CN" w:bidi="ar-SA"/>
        </w:rPr>
        <w:t>报价要求：供应商针对本项目报结算做折扣率，除根据收费标准及结算折扣率计算出的服务费外，采购人不再额外支付任何费用。</w:t>
      </w:r>
    </w:p>
    <w:p w14:paraId="5926F04E">
      <w:pPr>
        <w:keepNext w:val="0"/>
        <w:keepLines w:val="0"/>
        <w:pageBreakBefore w:val="0"/>
        <w:widowControl w:val="0"/>
        <w:numPr>
          <w:ilvl w:val="0"/>
          <w:numId w:val="0"/>
        </w:numPr>
        <w:kinsoku/>
        <w:wordWrap/>
        <w:overflowPunct/>
        <w:topLinePunct w:val="0"/>
        <w:autoSpaceDE/>
        <w:autoSpaceDN/>
        <w:bidi w:val="0"/>
        <w:adjustRightInd/>
        <w:snapToGrid/>
        <w:ind w:firstLine="484" w:firstLineChars="200"/>
        <w:textAlignment w:val="auto"/>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4、</w:t>
      </w:r>
      <w:r>
        <w:rPr>
          <w:rFonts w:hint="eastAsia" w:ascii="宋体" w:hAnsi="宋体" w:eastAsia="宋体" w:cs="宋体"/>
          <w:snapToGrid w:val="0"/>
          <w:color w:val="000000"/>
          <w:spacing w:val="1"/>
          <w:kern w:val="0"/>
          <w:sz w:val="24"/>
          <w:szCs w:val="24"/>
          <w:lang w:val="en-US" w:eastAsia="zh-CN" w:bidi="ar-SA"/>
        </w:rPr>
        <w:t>付款方式：每</w:t>
      </w:r>
      <w:r>
        <w:rPr>
          <w:rFonts w:hint="eastAsia" w:hAnsi="宋体" w:cs="宋体"/>
          <w:snapToGrid w:val="0"/>
          <w:color w:val="000000"/>
          <w:spacing w:val="1"/>
          <w:kern w:val="0"/>
          <w:sz w:val="24"/>
          <w:szCs w:val="24"/>
          <w:lang w:val="en-US" w:eastAsia="zh-CN" w:bidi="ar-SA"/>
        </w:rPr>
        <w:t>个项目咨询完成（交付正式报告）</w:t>
      </w:r>
      <w:r>
        <w:rPr>
          <w:rFonts w:hint="eastAsia" w:ascii="宋体" w:hAnsi="宋体" w:eastAsia="宋体" w:cs="宋体"/>
          <w:snapToGrid w:val="0"/>
          <w:color w:val="000000"/>
          <w:spacing w:val="1"/>
          <w:kern w:val="0"/>
          <w:sz w:val="24"/>
          <w:szCs w:val="24"/>
          <w:lang w:val="en-US" w:eastAsia="zh-CN" w:bidi="ar-SA"/>
        </w:rPr>
        <w:t>供应商提供正式发票</w:t>
      </w:r>
      <w:r>
        <w:rPr>
          <w:rFonts w:hint="eastAsia" w:hAnsi="宋体" w:cs="宋体"/>
          <w:snapToGrid w:val="0"/>
          <w:color w:val="000000"/>
          <w:spacing w:val="1"/>
          <w:kern w:val="0"/>
          <w:sz w:val="24"/>
          <w:szCs w:val="24"/>
          <w:lang w:val="en-US" w:eastAsia="zh-CN" w:bidi="ar-SA"/>
        </w:rPr>
        <w:t>后，</w:t>
      </w:r>
      <w:r>
        <w:rPr>
          <w:rFonts w:hint="eastAsia" w:ascii="宋体" w:hAnsi="宋体" w:eastAsia="宋体" w:cs="宋体"/>
          <w:snapToGrid w:val="0"/>
          <w:color w:val="000000"/>
          <w:spacing w:val="1"/>
          <w:kern w:val="0"/>
          <w:sz w:val="24"/>
          <w:szCs w:val="24"/>
          <w:lang w:val="en-US" w:eastAsia="zh-CN" w:bidi="ar-SA"/>
        </w:rPr>
        <w:t>采购人在30个工作日内完成支付。1年最终结算金额不得超过</w:t>
      </w:r>
      <w:r>
        <w:rPr>
          <w:rFonts w:hint="eastAsia" w:hAnsi="宋体" w:cs="宋体"/>
          <w:snapToGrid w:val="0"/>
          <w:color w:val="000000"/>
          <w:spacing w:val="1"/>
          <w:kern w:val="0"/>
          <w:sz w:val="24"/>
          <w:szCs w:val="24"/>
          <w:lang w:val="en-US" w:eastAsia="zh-CN" w:bidi="ar-SA"/>
        </w:rPr>
        <w:t>16</w:t>
      </w:r>
      <w:r>
        <w:rPr>
          <w:rFonts w:hint="eastAsia" w:ascii="宋体" w:hAnsi="宋体" w:eastAsia="宋体" w:cs="宋体"/>
          <w:snapToGrid w:val="0"/>
          <w:color w:val="000000"/>
          <w:spacing w:val="1"/>
          <w:kern w:val="0"/>
          <w:sz w:val="24"/>
          <w:szCs w:val="24"/>
          <w:lang w:val="en-US" w:eastAsia="zh-CN" w:bidi="ar-SA"/>
        </w:rPr>
        <w:t>万元，如1年服务期满</w:t>
      </w:r>
      <w:r>
        <w:rPr>
          <w:rFonts w:hint="eastAsia" w:hAnsi="宋体" w:cs="宋体"/>
          <w:snapToGrid w:val="0"/>
          <w:color w:val="000000"/>
          <w:spacing w:val="1"/>
          <w:kern w:val="0"/>
          <w:sz w:val="24"/>
          <w:szCs w:val="24"/>
          <w:lang w:val="en-US" w:eastAsia="zh-CN" w:bidi="ar-SA"/>
        </w:rPr>
        <w:t>16</w:t>
      </w:r>
      <w:r>
        <w:rPr>
          <w:rFonts w:hint="eastAsia" w:ascii="宋体" w:hAnsi="宋体" w:eastAsia="宋体" w:cs="宋体"/>
          <w:snapToGrid w:val="0"/>
          <w:color w:val="000000"/>
          <w:spacing w:val="1"/>
          <w:kern w:val="0"/>
          <w:sz w:val="24"/>
          <w:szCs w:val="24"/>
          <w:lang w:val="en-US" w:eastAsia="zh-CN" w:bidi="ar-SA"/>
        </w:rPr>
        <w:t>万元未用完，合同终止；</w:t>
      </w:r>
      <w:r>
        <w:rPr>
          <w:rFonts w:hint="eastAsia" w:hAnsi="宋体" w:cs="宋体"/>
          <w:snapToGrid w:val="0"/>
          <w:color w:val="000000"/>
          <w:spacing w:val="1"/>
          <w:kern w:val="0"/>
          <w:sz w:val="24"/>
          <w:szCs w:val="24"/>
          <w:lang w:val="en-US" w:eastAsia="zh-CN" w:bidi="ar-SA"/>
        </w:rPr>
        <w:t>16</w:t>
      </w:r>
      <w:r>
        <w:rPr>
          <w:rFonts w:hint="eastAsia" w:ascii="宋体" w:hAnsi="宋体" w:eastAsia="宋体" w:cs="宋体"/>
          <w:snapToGrid w:val="0"/>
          <w:color w:val="000000"/>
          <w:spacing w:val="1"/>
          <w:kern w:val="0"/>
          <w:sz w:val="24"/>
          <w:szCs w:val="24"/>
          <w:lang w:val="en-US" w:eastAsia="zh-CN" w:bidi="ar-SA"/>
        </w:rPr>
        <w:t>万用完但1年服务期未到，合同也终止</w:t>
      </w:r>
      <w:r>
        <w:rPr>
          <w:rFonts w:hint="eastAsia" w:hAnsi="宋体" w:cs="宋体"/>
          <w:snapToGrid w:val="0"/>
          <w:color w:val="000000"/>
          <w:spacing w:val="1"/>
          <w:kern w:val="0"/>
          <w:sz w:val="24"/>
          <w:szCs w:val="24"/>
          <w:lang w:val="en-US" w:eastAsia="zh-CN" w:bidi="ar-SA"/>
        </w:rPr>
        <w:t>（续签合同参照执行）</w:t>
      </w:r>
      <w:r>
        <w:rPr>
          <w:rFonts w:hint="eastAsia" w:ascii="宋体" w:hAnsi="宋体" w:eastAsia="宋体" w:cs="宋体"/>
          <w:snapToGrid w:val="0"/>
          <w:color w:val="000000"/>
          <w:spacing w:val="1"/>
          <w:kern w:val="0"/>
          <w:sz w:val="24"/>
          <w:szCs w:val="24"/>
          <w:lang w:val="en-US" w:eastAsia="zh-CN" w:bidi="ar-SA"/>
        </w:rPr>
        <w:t>。</w:t>
      </w:r>
    </w:p>
    <w:p w14:paraId="4418BA5E">
      <w:pPr>
        <w:keepNext w:val="0"/>
        <w:keepLines w:val="0"/>
        <w:pageBreakBefore w:val="0"/>
        <w:widowControl w:val="0"/>
        <w:numPr>
          <w:ilvl w:val="0"/>
          <w:numId w:val="0"/>
        </w:numPr>
        <w:kinsoku/>
        <w:wordWrap/>
        <w:overflowPunct/>
        <w:topLinePunct w:val="0"/>
        <w:autoSpaceDE/>
        <w:autoSpaceDN/>
        <w:bidi w:val="0"/>
        <w:adjustRightInd/>
        <w:snapToGrid/>
        <w:ind w:firstLine="484" w:firstLineChars="200"/>
        <w:textAlignment w:val="auto"/>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5、服务过程中，对获知的采购人或第三方信息应严格保密，未经采购人许可不得用作其他用途。</w:t>
      </w:r>
    </w:p>
    <w:p w14:paraId="77F9A8D7">
      <w:pPr>
        <w:keepNext w:val="0"/>
        <w:keepLines w:val="0"/>
        <w:pageBreakBefore w:val="0"/>
        <w:widowControl w:val="0"/>
        <w:numPr>
          <w:ilvl w:val="0"/>
          <w:numId w:val="0"/>
        </w:numPr>
        <w:kinsoku/>
        <w:wordWrap/>
        <w:overflowPunct/>
        <w:topLinePunct w:val="0"/>
        <w:autoSpaceDE/>
        <w:autoSpaceDN/>
        <w:bidi w:val="0"/>
        <w:adjustRightInd/>
        <w:snapToGrid/>
        <w:ind w:firstLine="484" w:firstLineChars="200"/>
        <w:textAlignment w:val="auto"/>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6、服务过程中，所有的安全生产责任和法律风险均由供应商承担，采购人有权动用履约保证金（如涉及）或未支付的服务费款项进行先行垫付，中标人不得有异议。</w:t>
      </w:r>
    </w:p>
    <w:p w14:paraId="1919B42B">
      <w:pPr>
        <w:keepNext w:val="0"/>
        <w:keepLines w:val="0"/>
        <w:pageBreakBefore w:val="0"/>
        <w:widowControl w:val="0"/>
        <w:numPr>
          <w:ilvl w:val="0"/>
          <w:numId w:val="0"/>
        </w:numPr>
        <w:kinsoku/>
        <w:wordWrap/>
        <w:overflowPunct/>
        <w:topLinePunct w:val="0"/>
        <w:autoSpaceDE/>
        <w:autoSpaceDN/>
        <w:bidi w:val="0"/>
        <w:adjustRightInd/>
        <w:snapToGrid/>
        <w:ind w:firstLine="484" w:firstLineChars="200"/>
        <w:textAlignment w:val="auto"/>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 xml:space="preserve">7、供应商必须遵守采购合同并执行合同中的各项规定 , 保证采购合同的正常履行。 </w:t>
      </w:r>
    </w:p>
    <w:p w14:paraId="10C5F92F">
      <w:pPr>
        <w:keepNext w:val="0"/>
        <w:keepLines w:val="0"/>
        <w:pageBreakBefore w:val="0"/>
        <w:widowControl w:val="0"/>
        <w:numPr>
          <w:ilvl w:val="0"/>
          <w:numId w:val="0"/>
        </w:numPr>
        <w:kinsoku/>
        <w:wordWrap/>
        <w:overflowPunct/>
        <w:topLinePunct w:val="0"/>
        <w:autoSpaceDE/>
        <w:autoSpaceDN/>
        <w:bidi w:val="0"/>
        <w:adjustRightInd/>
        <w:snapToGrid/>
        <w:ind w:firstLine="484" w:firstLineChars="200"/>
        <w:textAlignment w:val="auto"/>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8、如因供应商工作人员在履行职务过程中的疏忽、失职、过错等故意或者过失原因给采购人造成损失或侵害，包括但不限于采购人本身的 财产损失、律师费、诉讼费、公证费、保全费、保全保险费、鉴定费等以及由此而导 致的采购人对任何第三方的法律责任等，供应商对此均应承担全部的赔偿责任。</w:t>
      </w:r>
    </w:p>
    <w:p w14:paraId="23C1B3B9">
      <w:pPr>
        <w:keepNext w:val="0"/>
        <w:keepLines w:val="0"/>
        <w:pageBreakBefore w:val="0"/>
        <w:widowControl w:val="0"/>
        <w:numPr>
          <w:ilvl w:val="0"/>
          <w:numId w:val="0"/>
        </w:numPr>
        <w:kinsoku/>
        <w:wordWrap/>
        <w:overflowPunct/>
        <w:topLinePunct w:val="0"/>
        <w:autoSpaceDE/>
        <w:autoSpaceDN/>
        <w:bidi w:val="0"/>
        <w:adjustRightInd/>
        <w:snapToGrid/>
        <w:ind w:firstLine="484" w:firstLineChars="200"/>
        <w:textAlignment w:val="auto"/>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9、服务过程中，供应商不得为了多收取服务费而提高项目评审价格。如在评审后采购人将此评审价用于后期采购时发现价格虚高时，则可认为供应商履约存在瑕疵，出现一次扣服务费5000元，1年内达到3次，采购人有权单方面无条件解除合同且不承担任何责任。</w:t>
      </w:r>
    </w:p>
    <w:p w14:paraId="0AC9A740">
      <w:pPr>
        <w:keepNext w:val="0"/>
        <w:keepLines w:val="0"/>
        <w:pageBreakBefore w:val="0"/>
        <w:widowControl w:val="0"/>
        <w:numPr>
          <w:ilvl w:val="0"/>
          <w:numId w:val="0"/>
        </w:numPr>
        <w:kinsoku/>
        <w:wordWrap/>
        <w:overflowPunct/>
        <w:topLinePunct w:val="0"/>
        <w:autoSpaceDE/>
        <w:autoSpaceDN/>
        <w:bidi w:val="0"/>
        <w:adjustRightInd/>
        <w:snapToGrid/>
        <w:ind w:firstLine="484" w:firstLineChars="200"/>
        <w:textAlignment w:val="auto"/>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10、服务期内根据采购人的服务要求及时间要求提供信息化项目评审并出具评审报告。供应商不得因为采购人时间要求紧急而拒绝提供服务或延期完成服务，一年内出现两次未在规定期限内完成服务或未按要求提供服务的情形的，采购人有权单方面无条件解除合并不承担任何责任。</w:t>
      </w:r>
    </w:p>
    <w:p w14:paraId="44003C7E">
      <w:pPr>
        <w:numPr>
          <w:ilvl w:val="0"/>
          <w:numId w:val="0"/>
        </w:numPr>
        <w:rPr>
          <w:rFonts w:hint="eastAsia" w:ascii="宋体" w:hAnsi="宋体" w:eastAsia="宋体" w:cs="宋体"/>
          <w:snapToGrid w:val="0"/>
          <w:color w:val="000000"/>
          <w:spacing w:val="1"/>
          <w:kern w:val="0"/>
          <w:sz w:val="24"/>
          <w:szCs w:val="24"/>
          <w:lang w:val="en-US" w:eastAsia="en-US" w:bidi="ar-SA"/>
        </w:rPr>
      </w:pPr>
    </w:p>
    <w:p w14:paraId="1A1AA264">
      <w:pPr>
        <w:numPr>
          <w:ilvl w:val="0"/>
          <w:numId w:val="0"/>
        </w:numPr>
        <w:rPr>
          <w:rFonts w:hint="default"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三、服务要求</w:t>
      </w:r>
      <w:r>
        <w:rPr>
          <w:rFonts w:hint="eastAsia" w:hAnsi="宋体" w:cs="宋体"/>
          <w:b/>
          <w:bCs/>
          <w:snapToGrid w:val="0"/>
          <w:color w:val="000000"/>
          <w:spacing w:val="1"/>
          <w:kern w:val="0"/>
          <w:sz w:val="24"/>
          <w:szCs w:val="24"/>
          <w:lang w:val="en-US" w:eastAsia="zh-CN" w:bidi="ar-SA"/>
        </w:rPr>
        <w:t>（实质性要求）</w:t>
      </w:r>
    </w:p>
    <w:p w14:paraId="54C13849">
      <w:pPr>
        <w:keepNext w:val="0"/>
        <w:keepLines w:val="0"/>
        <w:pageBreakBefore w:val="0"/>
        <w:widowControl w:val="0"/>
        <w:numPr>
          <w:ilvl w:val="0"/>
          <w:numId w:val="0"/>
        </w:numPr>
        <w:kinsoku/>
        <w:wordWrap/>
        <w:overflowPunct/>
        <w:topLinePunct w:val="0"/>
        <w:autoSpaceDE/>
        <w:autoSpaceDN/>
        <w:bidi w:val="0"/>
        <w:adjustRightInd/>
        <w:snapToGrid/>
        <w:ind w:firstLine="484" w:firstLineChars="200"/>
        <w:textAlignment w:val="auto"/>
        <w:rPr>
          <w:rFonts w:hint="eastAsia" w:ascii="宋体" w:hAnsi="宋体" w:eastAsia="宋体" w:cs="宋体"/>
          <w:snapToGrid w:val="0"/>
          <w:color w:val="000000"/>
          <w:spacing w:val="-2"/>
          <w:kern w:val="0"/>
          <w:sz w:val="24"/>
          <w:szCs w:val="24"/>
          <w:lang w:val="en-US" w:eastAsia="zh-CN" w:bidi="ar-SA"/>
        </w:rPr>
      </w:pPr>
      <w:r>
        <w:rPr>
          <w:rFonts w:hint="eastAsia" w:ascii="宋体" w:hAnsi="宋体" w:eastAsia="宋体" w:cs="宋体"/>
          <w:snapToGrid w:val="0"/>
          <w:color w:val="000000"/>
          <w:spacing w:val="1"/>
          <w:kern w:val="0"/>
          <w:sz w:val="24"/>
          <w:szCs w:val="24"/>
          <w:lang w:val="en-US" w:eastAsia="en-US" w:bidi="ar-SA"/>
        </w:rPr>
        <w:t>1.</w:t>
      </w:r>
      <w:r>
        <w:rPr>
          <w:rFonts w:ascii="宋体" w:hAnsi="宋体" w:eastAsia="宋体" w:cs="宋体"/>
          <w:snapToGrid w:val="0"/>
          <w:color w:val="000000"/>
          <w:spacing w:val="-2"/>
          <w:kern w:val="0"/>
          <w:sz w:val="24"/>
          <w:szCs w:val="24"/>
          <w:lang w:val="en-US" w:eastAsia="en-US" w:bidi="ar-SA"/>
        </w:rPr>
        <w:t>基本要求</w:t>
      </w:r>
      <w:r>
        <w:rPr>
          <w:rFonts w:hint="eastAsia" w:ascii="宋体" w:hAnsi="宋体" w:eastAsia="宋体" w:cs="宋体"/>
          <w:snapToGrid w:val="0"/>
          <w:color w:val="000000"/>
          <w:spacing w:val="-2"/>
          <w:kern w:val="0"/>
          <w:sz w:val="24"/>
          <w:szCs w:val="24"/>
          <w:lang w:val="en-US" w:eastAsia="zh-CN" w:bidi="ar-SA"/>
        </w:rPr>
        <w:t>：</w:t>
      </w:r>
    </w:p>
    <w:p w14:paraId="3653FFAD">
      <w:pPr>
        <w:keepNext w:val="0"/>
        <w:keepLines w:val="0"/>
        <w:pageBreakBefore w:val="0"/>
        <w:widowControl w:val="0"/>
        <w:numPr>
          <w:ilvl w:val="0"/>
          <w:numId w:val="0"/>
        </w:numPr>
        <w:kinsoku/>
        <w:wordWrap/>
        <w:overflowPunct/>
        <w:topLinePunct w:val="0"/>
        <w:autoSpaceDE/>
        <w:autoSpaceDN/>
        <w:bidi w:val="0"/>
        <w:adjustRightInd/>
        <w:snapToGrid/>
        <w:ind w:firstLine="488" w:firstLineChars="200"/>
        <w:textAlignment w:val="auto"/>
        <w:rPr>
          <w:rFonts w:hint="eastAsia" w:ascii="宋体" w:hAnsi="宋体" w:eastAsia="宋体" w:cs="宋体"/>
          <w:snapToGrid w:val="0"/>
          <w:color w:val="auto"/>
          <w:spacing w:val="2"/>
          <w:kern w:val="0"/>
          <w:sz w:val="24"/>
          <w:szCs w:val="24"/>
          <w:lang w:val="en-US" w:eastAsia="en-US" w:bidi="ar-SA"/>
        </w:rPr>
      </w:pPr>
      <w:r>
        <w:rPr>
          <w:rFonts w:hint="eastAsia" w:hAnsi="宋体" w:cs="宋体"/>
          <w:snapToGrid w:val="0"/>
          <w:color w:val="000000"/>
          <w:spacing w:val="2"/>
          <w:kern w:val="0"/>
          <w:sz w:val="24"/>
          <w:szCs w:val="24"/>
          <w:lang w:val="en-US" w:eastAsia="zh-CN" w:bidi="ar-SA"/>
        </w:rPr>
        <w:t>（1）</w:t>
      </w:r>
      <w:r>
        <w:rPr>
          <w:rFonts w:hint="eastAsia" w:ascii="宋体" w:hAnsi="宋体" w:eastAsia="宋体" w:cs="宋体"/>
          <w:snapToGrid w:val="0"/>
          <w:color w:val="000000"/>
          <w:spacing w:val="2"/>
          <w:kern w:val="0"/>
          <w:sz w:val="24"/>
          <w:szCs w:val="24"/>
          <w:lang w:val="en-US" w:eastAsia="en-US" w:bidi="ar-SA"/>
        </w:rPr>
        <w:t>开展合江县人民医院信息化项目预算</w:t>
      </w:r>
      <w:r>
        <w:rPr>
          <w:rFonts w:hint="eastAsia" w:hAnsi="宋体" w:cs="宋体"/>
          <w:snapToGrid w:val="0"/>
          <w:color w:val="000000"/>
          <w:spacing w:val="2"/>
          <w:kern w:val="0"/>
          <w:sz w:val="24"/>
          <w:szCs w:val="24"/>
          <w:lang w:val="en-US" w:eastAsia="zh-CN" w:bidi="ar-SA"/>
        </w:rPr>
        <w:t>审核。</w:t>
      </w:r>
      <w:r>
        <w:rPr>
          <w:rFonts w:hint="eastAsia" w:ascii="宋体" w:hAnsi="宋体" w:eastAsia="宋体" w:cs="宋体"/>
          <w:snapToGrid w:val="0"/>
          <w:color w:val="000000"/>
          <w:spacing w:val="2"/>
          <w:kern w:val="0"/>
          <w:sz w:val="24"/>
          <w:szCs w:val="24"/>
          <w:lang w:val="en-US" w:eastAsia="en-US" w:bidi="ar-SA"/>
        </w:rPr>
        <w:t>供应商应严格按照国家、四川省、泸州市以及行业主管部门规定，对合江县人民医院信息化项目中各类费用构成的合理性、计取标</w:t>
      </w:r>
      <w:r>
        <w:rPr>
          <w:rFonts w:hint="eastAsia" w:ascii="宋体" w:hAnsi="宋体" w:eastAsia="宋体" w:cs="宋体"/>
          <w:snapToGrid w:val="0"/>
          <w:color w:val="auto"/>
          <w:spacing w:val="2"/>
          <w:kern w:val="0"/>
          <w:sz w:val="24"/>
          <w:szCs w:val="24"/>
          <w:lang w:val="en-US" w:eastAsia="en-US" w:bidi="ar-SA"/>
        </w:rPr>
        <w:t>准的合规性、有效性、计取依据的有效性、产品/服务价格的合理性等进行</w:t>
      </w:r>
      <w:r>
        <w:rPr>
          <w:rFonts w:hint="eastAsia" w:hAnsi="宋体" w:cs="宋体"/>
          <w:snapToGrid w:val="0"/>
          <w:color w:val="auto"/>
          <w:spacing w:val="2"/>
          <w:kern w:val="0"/>
          <w:sz w:val="24"/>
          <w:szCs w:val="24"/>
          <w:lang w:val="en-US" w:eastAsia="zh-CN" w:bidi="ar-SA"/>
        </w:rPr>
        <w:t>审核</w:t>
      </w:r>
      <w:r>
        <w:rPr>
          <w:rFonts w:hint="eastAsia" w:ascii="宋体" w:hAnsi="宋体" w:eastAsia="宋体" w:cs="宋体"/>
          <w:snapToGrid w:val="0"/>
          <w:color w:val="auto"/>
          <w:spacing w:val="2"/>
          <w:kern w:val="0"/>
          <w:sz w:val="24"/>
          <w:szCs w:val="24"/>
          <w:lang w:val="en-US" w:eastAsia="en-US" w:bidi="ar-SA"/>
        </w:rPr>
        <w:t>，尤其应按照国家标准和行业规范按标准功能点方法（ILF、EIF、EI、EO、EQ）对定制开发软件价格的合理性进行</w:t>
      </w:r>
      <w:r>
        <w:rPr>
          <w:rFonts w:hint="eastAsia" w:hAnsi="宋体" w:cs="宋体"/>
          <w:snapToGrid w:val="0"/>
          <w:color w:val="auto"/>
          <w:spacing w:val="2"/>
          <w:kern w:val="0"/>
          <w:sz w:val="24"/>
          <w:szCs w:val="24"/>
          <w:lang w:val="en-US" w:eastAsia="zh-CN" w:bidi="ar-SA"/>
        </w:rPr>
        <w:t>审核</w:t>
      </w:r>
      <w:r>
        <w:rPr>
          <w:rFonts w:hint="eastAsia" w:ascii="宋体" w:hAnsi="宋体" w:eastAsia="宋体" w:cs="宋体"/>
          <w:snapToGrid w:val="0"/>
          <w:color w:val="auto"/>
          <w:spacing w:val="2"/>
          <w:kern w:val="0"/>
          <w:sz w:val="24"/>
          <w:szCs w:val="24"/>
          <w:lang w:val="en-US" w:eastAsia="en-US" w:bidi="ar-SA"/>
        </w:rPr>
        <w:t>，并出具</w:t>
      </w:r>
      <w:r>
        <w:rPr>
          <w:rFonts w:hint="eastAsia" w:hAnsi="宋体" w:cs="宋体"/>
          <w:snapToGrid w:val="0"/>
          <w:color w:val="auto"/>
          <w:spacing w:val="2"/>
          <w:kern w:val="0"/>
          <w:sz w:val="24"/>
          <w:szCs w:val="24"/>
          <w:lang w:val="en-US" w:eastAsia="zh-CN" w:bidi="ar-SA"/>
        </w:rPr>
        <w:t>预算审核</w:t>
      </w:r>
      <w:r>
        <w:rPr>
          <w:rFonts w:hint="eastAsia" w:ascii="宋体" w:hAnsi="宋体" w:eastAsia="宋体" w:cs="宋体"/>
          <w:snapToGrid w:val="0"/>
          <w:color w:val="auto"/>
          <w:spacing w:val="2"/>
          <w:kern w:val="0"/>
          <w:sz w:val="24"/>
          <w:szCs w:val="24"/>
          <w:lang w:val="en-US" w:eastAsia="en-US" w:bidi="ar-SA"/>
        </w:rPr>
        <w:t>报告。</w:t>
      </w:r>
    </w:p>
    <w:p w14:paraId="7462932F">
      <w:pPr>
        <w:keepNext w:val="0"/>
        <w:keepLines w:val="0"/>
        <w:pageBreakBefore w:val="0"/>
        <w:widowControl w:val="0"/>
        <w:numPr>
          <w:ilvl w:val="0"/>
          <w:numId w:val="0"/>
        </w:numPr>
        <w:kinsoku/>
        <w:wordWrap/>
        <w:overflowPunct/>
        <w:topLinePunct w:val="0"/>
        <w:autoSpaceDE/>
        <w:autoSpaceDN/>
        <w:bidi w:val="0"/>
        <w:adjustRightInd/>
        <w:snapToGrid/>
        <w:ind w:firstLine="488" w:firstLineChars="200"/>
        <w:textAlignment w:val="auto"/>
        <w:rPr>
          <w:rFonts w:hint="eastAsia" w:ascii="宋体" w:hAnsi="宋体" w:eastAsia="宋体" w:cs="宋体"/>
          <w:snapToGrid w:val="0"/>
          <w:color w:val="0000FF"/>
          <w:spacing w:val="1"/>
          <w:kern w:val="0"/>
          <w:sz w:val="24"/>
          <w:szCs w:val="24"/>
          <w:lang w:val="en-US" w:eastAsia="en-US" w:bidi="ar-SA"/>
        </w:rPr>
      </w:pPr>
      <w:r>
        <w:rPr>
          <w:rFonts w:hint="eastAsia" w:hAnsi="宋体" w:cs="宋体"/>
          <w:snapToGrid w:val="0"/>
          <w:color w:val="auto"/>
          <w:spacing w:val="2"/>
          <w:kern w:val="0"/>
          <w:sz w:val="24"/>
          <w:szCs w:val="24"/>
          <w:lang w:val="en-US" w:eastAsia="zh-CN" w:bidi="ar-SA"/>
        </w:rPr>
        <w:t>（2）开展</w:t>
      </w:r>
      <w:r>
        <w:rPr>
          <w:rFonts w:hint="eastAsia" w:ascii="宋体" w:hAnsi="宋体" w:eastAsia="宋体" w:cs="宋体"/>
          <w:snapToGrid w:val="0"/>
          <w:color w:val="auto"/>
          <w:spacing w:val="2"/>
          <w:kern w:val="0"/>
          <w:sz w:val="24"/>
          <w:szCs w:val="24"/>
          <w:lang w:val="en-US" w:eastAsia="en-US" w:bidi="ar-SA"/>
        </w:rPr>
        <w:t>合江县人民医院信息化项目结算审核</w:t>
      </w:r>
      <w:r>
        <w:rPr>
          <w:rFonts w:hint="eastAsia" w:ascii="宋体" w:hAnsi="宋体" w:eastAsia="宋体" w:cs="宋体"/>
          <w:snapToGrid w:val="0"/>
          <w:color w:val="auto"/>
          <w:spacing w:val="1"/>
          <w:kern w:val="0"/>
          <w:sz w:val="24"/>
          <w:szCs w:val="24"/>
          <w:lang w:val="en-US" w:eastAsia="en-US" w:bidi="ar-SA"/>
        </w:rPr>
        <w:t>。</w:t>
      </w:r>
      <w:r>
        <w:rPr>
          <w:rFonts w:hint="eastAsia" w:ascii="宋体" w:hAnsi="宋体" w:eastAsia="宋体" w:cs="宋体"/>
          <w:snapToGrid w:val="0"/>
          <w:color w:val="auto"/>
          <w:spacing w:val="2"/>
          <w:kern w:val="0"/>
          <w:sz w:val="24"/>
          <w:szCs w:val="24"/>
          <w:lang w:val="en-US" w:eastAsia="en-US" w:bidi="ar-SA"/>
        </w:rPr>
        <w:t>供应商应严格</w:t>
      </w:r>
      <w:r>
        <w:rPr>
          <w:rFonts w:hint="eastAsia" w:ascii="宋体" w:hAnsi="宋体" w:eastAsia="宋体" w:cs="宋体"/>
          <w:snapToGrid w:val="0"/>
          <w:color w:val="auto"/>
          <w:spacing w:val="1"/>
          <w:kern w:val="0"/>
          <w:sz w:val="24"/>
          <w:szCs w:val="24"/>
          <w:lang w:val="en-US" w:eastAsia="en-US" w:bidi="ar-SA"/>
        </w:rPr>
        <w:t>按照国家、</w:t>
      </w:r>
      <w:r>
        <w:rPr>
          <w:rFonts w:hint="eastAsia" w:ascii="宋体" w:hAnsi="宋体" w:eastAsia="宋体" w:cs="宋体"/>
          <w:snapToGrid w:val="0"/>
          <w:color w:val="auto"/>
          <w:spacing w:val="2"/>
          <w:kern w:val="0"/>
          <w:sz w:val="24"/>
          <w:szCs w:val="24"/>
          <w:lang w:val="en-US" w:eastAsia="en-US" w:bidi="ar-SA"/>
        </w:rPr>
        <w:t>四川省、泸州市</w:t>
      </w:r>
      <w:r>
        <w:rPr>
          <w:rFonts w:hint="eastAsia" w:ascii="宋体" w:hAnsi="宋体" w:eastAsia="宋体" w:cs="宋体"/>
          <w:snapToGrid w:val="0"/>
          <w:color w:val="auto"/>
          <w:spacing w:val="1"/>
          <w:kern w:val="0"/>
          <w:sz w:val="24"/>
          <w:szCs w:val="24"/>
          <w:lang w:val="en-US" w:eastAsia="en-US" w:bidi="ar-SA"/>
        </w:rPr>
        <w:t>相关法律法规规定及行业规范标准，对合江县人民医院信息化项目提供结算审核服务。满足《建设工程造价咨询规范》（GB/T51095）、《建设工程造价咨询成果文件质量标准》（CECA/GC 7)等国家相关法规制度要求标准。 按照合同约定完成项目结算审核工作，并出具</w:t>
      </w:r>
      <w:r>
        <w:rPr>
          <w:rFonts w:hint="eastAsia" w:hAnsi="宋体" w:cs="宋体"/>
          <w:snapToGrid w:val="0"/>
          <w:color w:val="auto"/>
          <w:spacing w:val="1"/>
          <w:kern w:val="0"/>
          <w:sz w:val="24"/>
          <w:szCs w:val="24"/>
          <w:lang w:val="en-US" w:eastAsia="zh-CN" w:bidi="ar-SA"/>
        </w:rPr>
        <w:t>结算</w:t>
      </w:r>
      <w:r>
        <w:rPr>
          <w:rFonts w:hint="eastAsia" w:ascii="宋体" w:hAnsi="宋体" w:eastAsia="宋体" w:cs="宋体"/>
          <w:snapToGrid w:val="0"/>
          <w:color w:val="auto"/>
          <w:spacing w:val="1"/>
          <w:kern w:val="0"/>
          <w:sz w:val="24"/>
          <w:szCs w:val="24"/>
          <w:lang w:val="en-US" w:eastAsia="en-US" w:bidi="ar-SA"/>
        </w:rPr>
        <w:t>审核报告。</w:t>
      </w:r>
    </w:p>
    <w:p w14:paraId="5EB06841">
      <w:pPr>
        <w:keepNext w:val="0"/>
        <w:keepLines w:val="0"/>
        <w:pageBreakBefore w:val="0"/>
        <w:widowControl w:val="0"/>
        <w:numPr>
          <w:ilvl w:val="0"/>
          <w:numId w:val="0"/>
        </w:numPr>
        <w:kinsoku/>
        <w:wordWrap/>
        <w:overflowPunct/>
        <w:topLinePunct w:val="0"/>
        <w:autoSpaceDE/>
        <w:autoSpaceDN/>
        <w:bidi w:val="0"/>
        <w:adjustRightInd/>
        <w:snapToGrid/>
        <w:ind w:firstLine="484" w:firstLineChars="200"/>
        <w:textAlignment w:val="auto"/>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2.</w:t>
      </w:r>
      <w:r>
        <w:rPr>
          <w:rFonts w:hint="eastAsia" w:hAnsi="宋体" w:cs="宋体"/>
          <w:snapToGrid w:val="0"/>
          <w:color w:val="000000"/>
          <w:spacing w:val="1"/>
          <w:kern w:val="0"/>
          <w:sz w:val="24"/>
          <w:szCs w:val="24"/>
          <w:lang w:val="en-US" w:eastAsia="zh-CN" w:bidi="ar-SA"/>
        </w:rPr>
        <w:t>服务要求：</w:t>
      </w:r>
      <w:r>
        <w:rPr>
          <w:rFonts w:hint="eastAsia" w:ascii="宋体" w:hAnsi="宋体" w:eastAsia="宋体" w:cs="宋体"/>
          <w:snapToGrid w:val="0"/>
          <w:color w:val="000000"/>
          <w:spacing w:val="1"/>
          <w:kern w:val="0"/>
          <w:sz w:val="24"/>
          <w:szCs w:val="24"/>
          <w:lang w:val="en-US" w:eastAsia="en-US" w:bidi="ar-SA"/>
        </w:rPr>
        <w:t>接到采购人的需求后，应在2</w:t>
      </w:r>
      <w:r>
        <w:rPr>
          <w:rFonts w:hint="eastAsia" w:hAnsi="宋体" w:cs="宋体"/>
          <w:snapToGrid w:val="0"/>
          <w:color w:val="000000"/>
          <w:spacing w:val="1"/>
          <w:kern w:val="0"/>
          <w:sz w:val="24"/>
          <w:szCs w:val="24"/>
          <w:lang w:val="en-US" w:eastAsia="zh-CN" w:bidi="ar-SA"/>
        </w:rPr>
        <w:t>4</w:t>
      </w:r>
      <w:r>
        <w:rPr>
          <w:rFonts w:hint="eastAsia" w:ascii="宋体" w:hAnsi="宋体" w:eastAsia="宋体" w:cs="宋体"/>
          <w:snapToGrid w:val="0"/>
          <w:color w:val="000000"/>
          <w:spacing w:val="1"/>
          <w:kern w:val="0"/>
          <w:sz w:val="24"/>
          <w:szCs w:val="24"/>
          <w:lang w:val="en-US" w:eastAsia="en-US" w:bidi="ar-SA"/>
        </w:rPr>
        <w:t>个小时内指定专人上门对接项目，并在采购人规定的时间内完成任务，按照采购人要求出具相关报告</w:t>
      </w:r>
      <w:r>
        <w:rPr>
          <w:rFonts w:hint="eastAsia" w:ascii="宋体" w:hAnsi="宋体" w:eastAsia="宋体" w:cs="宋体"/>
          <w:snapToGrid w:val="0"/>
          <w:color w:val="000000"/>
          <w:spacing w:val="1"/>
          <w:kern w:val="0"/>
          <w:sz w:val="24"/>
          <w:szCs w:val="24"/>
          <w:lang w:val="en-US" w:eastAsia="zh-CN" w:bidi="ar-SA"/>
        </w:rPr>
        <w:t>（评审报告）、</w:t>
      </w:r>
      <w:r>
        <w:rPr>
          <w:rFonts w:hint="eastAsia" w:ascii="宋体" w:hAnsi="宋体" w:eastAsia="宋体" w:cs="宋体"/>
          <w:snapToGrid w:val="0"/>
          <w:color w:val="000000"/>
          <w:spacing w:val="1"/>
          <w:kern w:val="0"/>
          <w:sz w:val="24"/>
          <w:szCs w:val="24"/>
          <w:lang w:val="en-US" w:eastAsia="en-US" w:bidi="ar-SA"/>
        </w:rPr>
        <w:t>专业意见</w:t>
      </w:r>
      <w:r>
        <w:rPr>
          <w:rFonts w:hint="eastAsia" w:ascii="宋体" w:hAnsi="宋体" w:eastAsia="宋体" w:cs="宋体"/>
          <w:snapToGrid w:val="0"/>
          <w:color w:val="000000"/>
          <w:spacing w:val="1"/>
          <w:kern w:val="0"/>
          <w:sz w:val="24"/>
          <w:szCs w:val="24"/>
          <w:lang w:val="en-US" w:eastAsia="zh-CN" w:bidi="ar-SA"/>
        </w:rPr>
        <w:t>（如有）</w:t>
      </w:r>
      <w:r>
        <w:rPr>
          <w:rFonts w:hint="eastAsia" w:ascii="宋体" w:hAnsi="宋体" w:eastAsia="宋体" w:cs="宋体"/>
          <w:snapToGrid w:val="0"/>
          <w:color w:val="000000"/>
          <w:spacing w:val="1"/>
          <w:kern w:val="0"/>
          <w:sz w:val="24"/>
          <w:szCs w:val="24"/>
          <w:lang w:val="en-US" w:eastAsia="en-US" w:bidi="ar-SA"/>
        </w:rPr>
        <w:t>。</w:t>
      </w:r>
    </w:p>
    <w:p w14:paraId="38908998">
      <w:pPr>
        <w:rPr>
          <w:rFonts w:hint="eastAsia" w:ascii="仿宋" w:hAnsi="仿宋" w:eastAsia="仿宋" w:cs="仿宋"/>
          <w:b/>
          <w:bCs w:val="0"/>
          <w:color w:val="auto"/>
          <w:kern w:val="2"/>
          <w:sz w:val="24"/>
          <w:szCs w:val="22"/>
          <w:lang w:val="en-US" w:eastAsia="zh-CN"/>
        </w:rPr>
      </w:pPr>
    </w:p>
    <w:p w14:paraId="21DA5F38">
      <w:pPr>
        <w:rPr>
          <w:rFonts w:hint="eastAsia" w:ascii="仿宋" w:hAnsi="仿宋" w:eastAsia="仿宋" w:cs="仿宋"/>
          <w:b/>
          <w:bCs w:val="0"/>
          <w:color w:val="auto"/>
          <w:kern w:val="2"/>
          <w:sz w:val="24"/>
          <w:szCs w:val="22"/>
          <w:lang w:val="en-US" w:eastAsia="zh-CN"/>
        </w:rPr>
      </w:pPr>
      <w:r>
        <w:rPr>
          <w:rFonts w:hint="eastAsia" w:ascii="仿宋" w:hAnsi="仿宋" w:eastAsia="仿宋" w:cs="仿宋"/>
          <w:b/>
          <w:bCs w:val="0"/>
          <w:color w:val="auto"/>
          <w:kern w:val="2"/>
          <w:sz w:val="24"/>
          <w:szCs w:val="22"/>
          <w:lang w:val="en-US" w:eastAsia="zh-CN"/>
        </w:rPr>
        <w:br w:type="page"/>
      </w:r>
    </w:p>
    <w:p w14:paraId="0D30D035">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仿宋" w:hAnsi="仿宋" w:eastAsia="仿宋" w:cs="仿宋"/>
          <w:b/>
          <w:bCs w:val="0"/>
          <w:color w:val="auto"/>
          <w:kern w:val="2"/>
          <w:sz w:val="24"/>
          <w:szCs w:val="22"/>
          <w:lang w:val="en-US" w:eastAsia="zh-CN"/>
        </w:rPr>
      </w:pPr>
      <w:r>
        <w:rPr>
          <w:rFonts w:hint="eastAsia" w:ascii="仿宋" w:hAnsi="仿宋" w:eastAsia="仿宋" w:cs="仿宋"/>
          <w:b/>
          <w:bCs w:val="0"/>
          <w:color w:val="auto"/>
          <w:kern w:val="2"/>
          <w:sz w:val="24"/>
          <w:szCs w:val="22"/>
          <w:lang w:val="en-US" w:eastAsia="zh-CN"/>
        </w:rPr>
        <w:t>附件三：</w:t>
      </w:r>
    </w:p>
    <w:p w14:paraId="7B903721">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仿宋" w:hAnsi="仿宋" w:eastAsia="仿宋" w:cs="仿宋"/>
          <w:b/>
          <w:bCs w:val="0"/>
          <w:color w:val="auto"/>
          <w:kern w:val="2"/>
          <w:sz w:val="24"/>
          <w:szCs w:val="22"/>
          <w:lang w:val="en-US" w:eastAsia="zh-CN"/>
        </w:rPr>
      </w:pPr>
    </w:p>
    <w:tbl>
      <w:tblPr>
        <w:tblStyle w:val="7"/>
        <w:tblW w:w="4991" w:type="pct"/>
        <w:tblInd w:w="0" w:type="dxa"/>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Layout w:type="fixed"/>
        <w:tblCellMar>
          <w:top w:w="0" w:type="dxa"/>
          <w:left w:w="108" w:type="dxa"/>
          <w:bottom w:w="0" w:type="dxa"/>
          <w:right w:w="108" w:type="dxa"/>
        </w:tblCellMar>
      </w:tblPr>
      <w:tblGrid>
        <w:gridCol w:w="554"/>
        <w:gridCol w:w="808"/>
        <w:gridCol w:w="674"/>
        <w:gridCol w:w="5949"/>
        <w:gridCol w:w="516"/>
      </w:tblGrid>
      <w:tr w14:paraId="2C4940FB">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325" w:type="pct"/>
            <w:tcBorders>
              <w:tl2br w:val="nil"/>
              <w:tr2bl w:val="nil"/>
            </w:tcBorders>
            <w:noWrap w:val="0"/>
            <w:vAlign w:val="center"/>
          </w:tcPr>
          <w:p w14:paraId="4FF785B3">
            <w:pPr>
              <w:keepNext w:val="0"/>
              <w:keepLines w:val="0"/>
              <w:pageBreakBefore w:val="0"/>
              <w:kinsoku/>
              <w:wordWrap/>
              <w:overflowPunct/>
              <w:autoSpaceDE/>
              <w:autoSpaceDN/>
              <w:bidi w:val="0"/>
              <w:adjustRightInd w:val="0"/>
              <w:snapToGrid w:val="0"/>
              <w:spacing w:line="240" w:lineRule="auto"/>
              <w:ind w:left="0" w:right="0"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475" w:type="pct"/>
            <w:tcBorders>
              <w:tl2br w:val="nil"/>
              <w:tr2bl w:val="nil"/>
            </w:tcBorders>
            <w:noWrap w:val="0"/>
            <w:vAlign w:val="center"/>
          </w:tcPr>
          <w:p w14:paraId="5207D5CC">
            <w:pPr>
              <w:keepNext w:val="0"/>
              <w:keepLines w:val="0"/>
              <w:pageBreakBefore w:val="0"/>
              <w:kinsoku/>
              <w:wordWrap/>
              <w:overflowPunct/>
              <w:autoSpaceDE/>
              <w:autoSpaceDN/>
              <w:bidi w:val="0"/>
              <w:adjustRightInd w:val="0"/>
              <w:snapToGrid w:val="0"/>
              <w:spacing w:line="240" w:lineRule="auto"/>
              <w:ind w:left="0" w:right="0"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评审因素</w:t>
            </w:r>
          </w:p>
        </w:tc>
        <w:tc>
          <w:tcPr>
            <w:tcW w:w="396" w:type="pct"/>
            <w:tcBorders>
              <w:tl2br w:val="nil"/>
              <w:tr2bl w:val="nil"/>
            </w:tcBorders>
            <w:noWrap w:val="0"/>
            <w:vAlign w:val="center"/>
          </w:tcPr>
          <w:p w14:paraId="671759B2">
            <w:pPr>
              <w:keepNext w:val="0"/>
              <w:keepLines w:val="0"/>
              <w:pageBreakBefore w:val="0"/>
              <w:kinsoku/>
              <w:wordWrap/>
              <w:overflowPunct/>
              <w:autoSpaceDE/>
              <w:autoSpaceDN/>
              <w:bidi w:val="0"/>
              <w:adjustRightInd w:val="0"/>
              <w:snapToGrid w:val="0"/>
              <w:spacing w:line="240" w:lineRule="auto"/>
              <w:ind w:left="0" w:right="0" w:firstLine="0" w:firstLineChars="0"/>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分值</w:t>
            </w:r>
          </w:p>
        </w:tc>
        <w:tc>
          <w:tcPr>
            <w:tcW w:w="3499" w:type="pct"/>
            <w:tcBorders>
              <w:tl2br w:val="nil"/>
              <w:tr2bl w:val="nil"/>
            </w:tcBorders>
            <w:noWrap w:val="0"/>
            <w:vAlign w:val="center"/>
          </w:tcPr>
          <w:p w14:paraId="4A98C017">
            <w:pPr>
              <w:keepNext w:val="0"/>
              <w:keepLines w:val="0"/>
              <w:pageBreakBefore w:val="0"/>
              <w:kinsoku/>
              <w:wordWrap/>
              <w:overflowPunct/>
              <w:autoSpaceDE/>
              <w:autoSpaceDN/>
              <w:bidi w:val="0"/>
              <w:adjustRightInd w:val="0"/>
              <w:snapToGrid w:val="0"/>
              <w:spacing w:line="240" w:lineRule="auto"/>
              <w:ind w:left="0" w:right="0"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评分标准</w:t>
            </w:r>
          </w:p>
        </w:tc>
        <w:tc>
          <w:tcPr>
            <w:tcW w:w="303" w:type="pct"/>
            <w:tcBorders>
              <w:tl2br w:val="nil"/>
              <w:tr2bl w:val="nil"/>
            </w:tcBorders>
            <w:noWrap w:val="0"/>
            <w:vAlign w:val="center"/>
          </w:tcPr>
          <w:p w14:paraId="4C172EE2">
            <w:pPr>
              <w:keepNext w:val="0"/>
              <w:keepLines w:val="0"/>
              <w:pageBreakBefore w:val="0"/>
              <w:kinsoku/>
              <w:wordWrap/>
              <w:overflowPunct/>
              <w:autoSpaceDE/>
              <w:autoSpaceDN/>
              <w:bidi w:val="0"/>
              <w:adjustRightInd w:val="0"/>
              <w:snapToGrid w:val="0"/>
              <w:spacing w:line="240" w:lineRule="auto"/>
              <w:ind w:left="0" w:right="0"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说明</w:t>
            </w:r>
          </w:p>
        </w:tc>
      </w:tr>
      <w:tr w14:paraId="6E940A2A">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108" w:type="dxa"/>
            <w:bottom w:w="0" w:type="dxa"/>
            <w:right w:w="108" w:type="dxa"/>
          </w:tblCellMar>
        </w:tblPrEx>
        <w:trPr>
          <w:trHeight w:val="1180" w:hRule="atLeast"/>
        </w:trPr>
        <w:tc>
          <w:tcPr>
            <w:tcW w:w="325" w:type="pct"/>
            <w:tcBorders>
              <w:tl2br w:val="nil"/>
              <w:tr2bl w:val="nil"/>
            </w:tcBorders>
            <w:noWrap w:val="0"/>
            <w:vAlign w:val="center"/>
          </w:tcPr>
          <w:p w14:paraId="106850FB">
            <w:pPr>
              <w:keepNext w:val="0"/>
              <w:keepLines w:val="0"/>
              <w:pageBreakBefore w:val="0"/>
              <w:kinsoku/>
              <w:wordWrap/>
              <w:overflowPunct/>
              <w:autoSpaceDE/>
              <w:autoSpaceDN/>
              <w:bidi w:val="0"/>
              <w:adjustRightInd w:val="0"/>
              <w:snapToGrid w:val="0"/>
              <w:spacing w:line="240" w:lineRule="auto"/>
              <w:ind w:left="0" w:right="0" w:firstLine="0" w:firstLineChars="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1</w:t>
            </w:r>
          </w:p>
        </w:tc>
        <w:tc>
          <w:tcPr>
            <w:tcW w:w="475" w:type="pct"/>
            <w:tcBorders>
              <w:tl2br w:val="nil"/>
              <w:tr2bl w:val="nil"/>
            </w:tcBorders>
            <w:noWrap w:val="0"/>
            <w:vAlign w:val="center"/>
          </w:tcPr>
          <w:p w14:paraId="1E2A23B5">
            <w:pPr>
              <w:keepNext w:val="0"/>
              <w:keepLines w:val="0"/>
              <w:pageBreakBefore w:val="0"/>
              <w:kinsoku/>
              <w:wordWrap/>
              <w:overflowPunct/>
              <w:autoSpaceDE/>
              <w:autoSpaceDN/>
              <w:bidi w:val="0"/>
              <w:adjustRightInd w:val="0"/>
              <w:snapToGrid w:val="0"/>
              <w:spacing w:line="240" w:lineRule="auto"/>
              <w:ind w:left="0" w:right="0" w:firstLine="0" w:firstLineChars="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报价</w:t>
            </w:r>
          </w:p>
        </w:tc>
        <w:tc>
          <w:tcPr>
            <w:tcW w:w="396" w:type="pct"/>
            <w:tcBorders>
              <w:tl2br w:val="nil"/>
              <w:tr2bl w:val="nil"/>
            </w:tcBorders>
            <w:noWrap w:val="0"/>
            <w:vAlign w:val="center"/>
          </w:tcPr>
          <w:p w14:paraId="0F56CB07">
            <w:pPr>
              <w:keepNext w:val="0"/>
              <w:keepLines w:val="0"/>
              <w:pageBreakBefore w:val="0"/>
              <w:kinsoku/>
              <w:wordWrap/>
              <w:overflowPunct/>
              <w:autoSpaceDE/>
              <w:autoSpaceDN/>
              <w:bidi w:val="0"/>
              <w:adjustRightInd w:val="0"/>
              <w:snapToGrid w:val="0"/>
              <w:spacing w:line="240" w:lineRule="auto"/>
              <w:ind w:left="0" w:right="0" w:firstLine="0" w:firstLineChars="0"/>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20</w:t>
            </w:r>
          </w:p>
        </w:tc>
        <w:tc>
          <w:tcPr>
            <w:tcW w:w="3499" w:type="pct"/>
            <w:tcBorders>
              <w:tl2br w:val="nil"/>
              <w:tr2bl w:val="nil"/>
            </w:tcBorders>
            <w:noWrap w:val="0"/>
            <w:vAlign w:val="center"/>
          </w:tcPr>
          <w:p w14:paraId="41C7E851">
            <w:pPr>
              <w:keepNext w:val="0"/>
              <w:keepLines w:val="0"/>
              <w:pageBreakBefore w:val="0"/>
              <w:kinsoku/>
              <w:wordWrap/>
              <w:overflowPunct/>
              <w:autoSpaceDE/>
              <w:autoSpaceDN/>
              <w:bidi w:val="0"/>
              <w:adjustRightInd w:val="0"/>
              <w:snapToGrid w:val="0"/>
              <w:spacing w:line="240" w:lineRule="auto"/>
              <w:ind w:left="0" w:right="0" w:firstLine="0" w:firstLineChars="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以本次有效的最低报价为基准价，报价得分=(基准价/其它有效报价)*20%*100。</w:t>
            </w:r>
          </w:p>
          <w:p w14:paraId="265EFEC8">
            <w:pPr>
              <w:keepNext w:val="0"/>
              <w:keepLines w:val="0"/>
              <w:pageBreakBefore w:val="0"/>
              <w:kinsoku/>
              <w:wordWrap/>
              <w:overflowPunct/>
              <w:autoSpaceDE/>
              <w:autoSpaceDN/>
              <w:bidi w:val="0"/>
              <w:adjustRightInd w:val="0"/>
              <w:snapToGrid w:val="0"/>
              <w:spacing w:line="240" w:lineRule="auto"/>
              <w:ind w:left="0" w:right="0" w:firstLine="0" w:firstLineChars="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注：评审报价=结算折扣率。</w:t>
            </w:r>
          </w:p>
        </w:tc>
        <w:tc>
          <w:tcPr>
            <w:tcW w:w="303" w:type="pct"/>
            <w:tcBorders>
              <w:tl2br w:val="nil"/>
              <w:tr2bl w:val="nil"/>
            </w:tcBorders>
            <w:noWrap w:val="0"/>
            <w:vAlign w:val="center"/>
          </w:tcPr>
          <w:p w14:paraId="3B0A6906">
            <w:pPr>
              <w:pStyle w:val="6"/>
              <w:keepNext w:val="0"/>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right="0" w:firstLine="0" w:firstLineChars="0"/>
              <w:textAlignment w:val="auto"/>
              <w:rPr>
                <w:rFonts w:hint="eastAsia" w:ascii="仿宋" w:hAnsi="仿宋" w:eastAsia="仿宋" w:cs="仿宋"/>
                <w:color w:val="auto"/>
                <w:kern w:val="0"/>
                <w:sz w:val="24"/>
                <w:szCs w:val="24"/>
                <w:lang w:val="en-US" w:eastAsia="zh-CN" w:bidi="ar-SA"/>
              </w:rPr>
            </w:pPr>
          </w:p>
        </w:tc>
      </w:tr>
      <w:tr w14:paraId="23561190">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108" w:type="dxa"/>
            <w:bottom w:w="0" w:type="dxa"/>
            <w:right w:w="108" w:type="dxa"/>
          </w:tblCellMar>
        </w:tblPrEx>
        <w:trPr>
          <w:trHeight w:val="412" w:hRule="atLeast"/>
        </w:trPr>
        <w:tc>
          <w:tcPr>
            <w:tcW w:w="325" w:type="pct"/>
            <w:tcBorders>
              <w:tl2br w:val="nil"/>
              <w:tr2bl w:val="nil"/>
            </w:tcBorders>
            <w:noWrap w:val="0"/>
            <w:vAlign w:val="center"/>
          </w:tcPr>
          <w:p w14:paraId="7847DC39">
            <w:pPr>
              <w:keepNext w:val="0"/>
              <w:keepLines w:val="0"/>
              <w:pageBreakBefore w:val="0"/>
              <w:kinsoku/>
              <w:wordWrap/>
              <w:overflowPunct/>
              <w:autoSpaceDE/>
              <w:autoSpaceDN/>
              <w:bidi w:val="0"/>
              <w:adjustRightInd w:val="0"/>
              <w:snapToGrid w:val="0"/>
              <w:spacing w:line="240" w:lineRule="auto"/>
              <w:ind w:left="0" w:right="0" w:firstLine="0" w:firstLineChars="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2</w:t>
            </w:r>
          </w:p>
        </w:tc>
        <w:tc>
          <w:tcPr>
            <w:tcW w:w="475" w:type="pct"/>
            <w:tcBorders>
              <w:tl2br w:val="nil"/>
              <w:tr2bl w:val="nil"/>
            </w:tcBorders>
            <w:noWrap w:val="0"/>
            <w:vAlign w:val="center"/>
          </w:tcPr>
          <w:p w14:paraId="07AC381E">
            <w:pPr>
              <w:keepNext w:val="0"/>
              <w:keepLines w:val="0"/>
              <w:pageBreakBefore w:val="0"/>
              <w:widowControl/>
              <w:kinsoku/>
              <w:wordWrap/>
              <w:overflowPunct/>
              <w:autoSpaceDE/>
              <w:autoSpaceDN/>
              <w:bidi w:val="0"/>
              <w:adjustRightInd w:val="0"/>
              <w:snapToGrid w:val="0"/>
              <w:spacing w:line="240" w:lineRule="auto"/>
              <w:ind w:left="0" w:right="0" w:firstLine="0" w:firstLineChars="0"/>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服务方案</w:t>
            </w:r>
          </w:p>
        </w:tc>
        <w:tc>
          <w:tcPr>
            <w:tcW w:w="396" w:type="pct"/>
            <w:tcBorders>
              <w:tl2br w:val="nil"/>
              <w:tr2bl w:val="nil"/>
            </w:tcBorders>
            <w:noWrap w:val="0"/>
            <w:vAlign w:val="center"/>
          </w:tcPr>
          <w:p w14:paraId="2C592097">
            <w:pPr>
              <w:keepNext w:val="0"/>
              <w:keepLines w:val="0"/>
              <w:pageBreakBefore w:val="0"/>
              <w:widowControl/>
              <w:kinsoku/>
              <w:wordWrap/>
              <w:overflowPunct/>
              <w:autoSpaceDE/>
              <w:autoSpaceDN/>
              <w:bidi w:val="0"/>
              <w:adjustRightInd w:val="0"/>
              <w:snapToGrid w:val="0"/>
              <w:spacing w:line="240" w:lineRule="auto"/>
              <w:ind w:left="0" w:right="0" w:firstLine="0" w:firstLineChars="0"/>
              <w:jc w:val="both"/>
              <w:textAlignment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40</w:t>
            </w:r>
          </w:p>
        </w:tc>
        <w:tc>
          <w:tcPr>
            <w:tcW w:w="3499" w:type="pct"/>
            <w:tcBorders>
              <w:tl2br w:val="nil"/>
              <w:tr2bl w:val="nil"/>
            </w:tcBorders>
            <w:noWrap w:val="0"/>
            <w:vAlign w:val="center"/>
          </w:tcPr>
          <w:p w14:paraId="01BD9BD2">
            <w:pPr>
              <w:keepNext w:val="0"/>
              <w:keepLines w:val="0"/>
              <w:pageBreakBefore w:val="0"/>
              <w:kinsoku/>
              <w:wordWrap/>
              <w:overflowPunct/>
              <w:autoSpaceDE/>
              <w:autoSpaceDN/>
              <w:bidi w:val="0"/>
              <w:adjustRightInd w:val="0"/>
              <w:snapToGrid w:val="0"/>
              <w:spacing w:line="240" w:lineRule="auto"/>
              <w:ind w:left="0" w:right="0" w:firstLine="0" w:firstLineChars="0"/>
              <w:rPr>
                <w:rFonts w:hint="eastAsia" w:ascii="仿宋" w:hAnsi="仿宋" w:eastAsia="仿宋" w:cs="仿宋"/>
                <w:sz w:val="24"/>
                <w:szCs w:val="24"/>
                <w:lang w:eastAsia="zh-CN"/>
              </w:rPr>
            </w:pPr>
            <w:r>
              <w:rPr>
                <w:rFonts w:hint="eastAsia" w:ascii="仿宋" w:hAnsi="仿宋" w:eastAsia="仿宋" w:cs="仿宋"/>
                <w:color w:val="auto"/>
                <w:sz w:val="24"/>
                <w:szCs w:val="24"/>
              </w:rPr>
              <w:t>供应商针对本项目编制实施方案,包括（1）服务思路（需明确服务定位与目标和服务方法框架等内容） , （2）主要评审依据及评审要点,（3）服务质量目标与保证措施 (需明确服务质量目标设定、服务质量保证措施、风险控制与合规保障等内容），（4）服务进度计划与保证</w:t>
            </w:r>
            <w:r>
              <w:rPr>
                <w:rFonts w:hint="eastAsia" w:ascii="仿宋" w:hAnsi="仿宋" w:eastAsia="仿宋" w:cs="仿宋"/>
                <w:color w:val="auto"/>
                <w:sz w:val="24"/>
                <w:szCs w:val="24"/>
                <w:lang w:val="en-US" w:eastAsia="zh-CN"/>
              </w:rPr>
              <w:t>措</w:t>
            </w:r>
            <w:r>
              <w:rPr>
                <w:rFonts w:hint="eastAsia" w:ascii="仿宋" w:hAnsi="仿宋" w:eastAsia="仿宋" w:cs="仿宋"/>
                <w:color w:val="auto"/>
                <w:sz w:val="24"/>
                <w:szCs w:val="24"/>
              </w:rPr>
              <w:t>施（需明确服务进度计划设计和服务进度保证措施等内容）</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信息保密和项目资料管理措施。方案内容齐全且无缺陷的得</w:t>
            </w:r>
            <w:r>
              <w:rPr>
                <w:rFonts w:hint="eastAsia" w:ascii="仿宋" w:hAnsi="仿宋" w:eastAsia="仿宋" w:cs="仿宋"/>
                <w:b/>
                <w:bCs/>
                <w:color w:val="auto"/>
                <w:sz w:val="24"/>
                <w:szCs w:val="24"/>
                <w:lang w:val="en-US" w:eastAsia="zh-CN"/>
              </w:rPr>
              <w:t>40</w:t>
            </w:r>
            <w:r>
              <w:rPr>
                <w:rFonts w:hint="eastAsia" w:ascii="仿宋" w:hAnsi="仿宋" w:eastAsia="仿宋" w:cs="仿宋"/>
                <w:b/>
                <w:bCs/>
                <w:color w:val="auto"/>
                <w:sz w:val="24"/>
                <w:szCs w:val="24"/>
              </w:rPr>
              <w:t>分</w:t>
            </w:r>
            <w:r>
              <w:rPr>
                <w:rFonts w:hint="eastAsia" w:ascii="仿宋" w:hAnsi="仿宋" w:eastAsia="仿宋" w:cs="仿宋"/>
                <w:color w:val="auto"/>
                <w:sz w:val="24"/>
                <w:szCs w:val="24"/>
              </w:rPr>
              <w:t>；每缺少一项内容扣</w:t>
            </w:r>
            <w:r>
              <w:rPr>
                <w:rFonts w:hint="eastAsia" w:ascii="仿宋" w:hAnsi="仿宋" w:eastAsia="仿宋" w:cs="仿宋"/>
                <w:color w:val="auto"/>
                <w:sz w:val="24"/>
                <w:szCs w:val="24"/>
                <w:lang w:val="en-US" w:eastAsia="zh-CN"/>
              </w:rPr>
              <w:t>8</w:t>
            </w:r>
            <w:r>
              <w:rPr>
                <w:rFonts w:hint="eastAsia" w:ascii="仿宋" w:hAnsi="仿宋" w:eastAsia="仿宋" w:cs="仿宋"/>
                <w:color w:val="auto"/>
                <w:sz w:val="24"/>
                <w:szCs w:val="24"/>
              </w:rPr>
              <w:t>分；每项内容每有一处存在缺陷扣</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分,该项</w:t>
            </w:r>
            <w:r>
              <w:rPr>
                <w:rFonts w:hint="eastAsia" w:ascii="仿宋" w:hAnsi="仿宋" w:eastAsia="仿宋" w:cs="仿宋"/>
                <w:color w:val="auto"/>
                <w:sz w:val="24"/>
                <w:szCs w:val="24"/>
                <w:lang w:val="en-US" w:eastAsia="zh-CN"/>
              </w:rPr>
              <w:t>8</w:t>
            </w:r>
            <w:r>
              <w:rPr>
                <w:rFonts w:hint="eastAsia" w:ascii="仿宋" w:hAnsi="仿宋" w:eastAsia="仿宋" w:cs="仿宋"/>
                <w:color w:val="auto"/>
                <w:sz w:val="24"/>
                <w:szCs w:val="24"/>
              </w:rPr>
              <w:t>分扣完为止。</w:t>
            </w:r>
          </w:p>
        </w:tc>
        <w:tc>
          <w:tcPr>
            <w:tcW w:w="303" w:type="pct"/>
            <w:tcBorders>
              <w:tl2br w:val="nil"/>
              <w:tr2bl w:val="nil"/>
            </w:tcBorders>
            <w:noWrap w:val="0"/>
            <w:vAlign w:val="center"/>
          </w:tcPr>
          <w:p w14:paraId="61167C18">
            <w:pPr>
              <w:pStyle w:val="9"/>
              <w:keepNext w:val="0"/>
              <w:keepLines w:val="0"/>
              <w:pageBreakBefore w:val="0"/>
              <w:kinsoku/>
              <w:wordWrap/>
              <w:overflowPunct/>
              <w:autoSpaceDE/>
              <w:autoSpaceDN/>
              <w:bidi w:val="0"/>
              <w:adjustRightInd w:val="0"/>
              <w:snapToGrid w:val="0"/>
              <w:spacing w:line="240" w:lineRule="auto"/>
              <w:ind w:left="0" w:right="0" w:firstLine="0" w:firstLineChars="0"/>
              <w:rPr>
                <w:rFonts w:hint="eastAsia" w:ascii="仿宋" w:hAnsi="仿宋" w:eastAsia="仿宋" w:cs="仿宋"/>
                <w:color w:val="auto"/>
                <w:sz w:val="24"/>
                <w:szCs w:val="24"/>
              </w:rPr>
            </w:pPr>
          </w:p>
        </w:tc>
      </w:tr>
      <w:tr w14:paraId="1A590D0F">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108" w:type="dxa"/>
            <w:bottom w:w="0" w:type="dxa"/>
            <w:right w:w="108" w:type="dxa"/>
          </w:tblCellMar>
        </w:tblPrEx>
        <w:trPr>
          <w:trHeight w:val="1862" w:hRule="atLeast"/>
        </w:trPr>
        <w:tc>
          <w:tcPr>
            <w:tcW w:w="325" w:type="pct"/>
            <w:tcBorders>
              <w:tl2br w:val="nil"/>
              <w:tr2bl w:val="nil"/>
            </w:tcBorders>
            <w:noWrap w:val="0"/>
            <w:vAlign w:val="center"/>
          </w:tcPr>
          <w:p w14:paraId="055E27E8">
            <w:pPr>
              <w:keepNext w:val="0"/>
              <w:keepLines w:val="0"/>
              <w:pageBreakBefore w:val="0"/>
              <w:kinsoku/>
              <w:wordWrap/>
              <w:overflowPunct/>
              <w:autoSpaceDE/>
              <w:autoSpaceDN/>
              <w:bidi w:val="0"/>
              <w:adjustRightInd w:val="0"/>
              <w:snapToGrid w:val="0"/>
              <w:spacing w:line="240" w:lineRule="auto"/>
              <w:ind w:left="0" w:right="0" w:firstLine="0" w:firstLineChars="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3</w:t>
            </w:r>
          </w:p>
        </w:tc>
        <w:tc>
          <w:tcPr>
            <w:tcW w:w="475" w:type="pct"/>
            <w:tcBorders>
              <w:tl2br w:val="nil"/>
              <w:tr2bl w:val="nil"/>
            </w:tcBorders>
            <w:noWrap w:val="0"/>
            <w:vAlign w:val="center"/>
          </w:tcPr>
          <w:p w14:paraId="1706254F">
            <w:pPr>
              <w:keepNext w:val="0"/>
              <w:keepLines w:val="0"/>
              <w:pageBreakBefore w:val="0"/>
              <w:kinsoku/>
              <w:wordWrap/>
              <w:overflowPunct/>
              <w:autoSpaceDE/>
              <w:autoSpaceDN/>
              <w:bidi w:val="0"/>
              <w:adjustRightInd w:val="0"/>
              <w:snapToGrid w:val="0"/>
              <w:spacing w:line="240" w:lineRule="auto"/>
              <w:ind w:left="0" w:right="0" w:firstLine="0" w:firstLineChars="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履约能力</w:t>
            </w:r>
          </w:p>
        </w:tc>
        <w:tc>
          <w:tcPr>
            <w:tcW w:w="396" w:type="pct"/>
            <w:tcBorders>
              <w:tl2br w:val="nil"/>
              <w:tr2bl w:val="nil"/>
            </w:tcBorders>
            <w:noWrap w:val="0"/>
            <w:vAlign w:val="center"/>
          </w:tcPr>
          <w:p w14:paraId="41C59EA2">
            <w:pPr>
              <w:keepNext w:val="0"/>
              <w:keepLines w:val="0"/>
              <w:pageBreakBefore w:val="0"/>
              <w:widowControl/>
              <w:kinsoku/>
              <w:wordWrap/>
              <w:overflowPunct/>
              <w:autoSpaceDE/>
              <w:autoSpaceDN/>
              <w:bidi w:val="0"/>
              <w:adjustRightInd w:val="0"/>
              <w:snapToGrid w:val="0"/>
              <w:spacing w:line="240" w:lineRule="auto"/>
              <w:ind w:left="0" w:right="0" w:firstLine="0" w:firstLineChars="0"/>
              <w:jc w:val="both"/>
              <w:textAlignment w:val="center"/>
              <w:rPr>
                <w:rFonts w:hint="default"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30</w:t>
            </w:r>
          </w:p>
        </w:tc>
        <w:tc>
          <w:tcPr>
            <w:tcW w:w="3499" w:type="pct"/>
            <w:tcBorders>
              <w:tl2br w:val="nil"/>
              <w:tr2bl w:val="nil"/>
            </w:tcBorders>
            <w:noWrap w:val="0"/>
            <w:vAlign w:val="center"/>
          </w:tcPr>
          <w:p w14:paraId="44169270">
            <w:pPr>
              <w:keepNext w:val="0"/>
              <w:keepLines w:val="0"/>
              <w:pageBreakBefore w:val="0"/>
              <w:numPr>
                <w:ilvl w:val="0"/>
                <w:numId w:val="1"/>
              </w:numPr>
              <w:kinsoku/>
              <w:wordWrap/>
              <w:overflowPunct/>
              <w:autoSpaceDE/>
              <w:autoSpaceDN/>
              <w:bidi w:val="0"/>
              <w:adjustRightInd w:val="0"/>
              <w:snapToGrid w:val="0"/>
              <w:spacing w:line="240" w:lineRule="auto"/>
              <w:ind w:left="0" w:right="0" w:firstLine="0" w:firstLineChars="0"/>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供应商拟派为本项目的项目经理（1人）：具有软件工程造价师、注册造价工程师或咨询工程师（投资）的得基本分4分；同时具有计算机技术与软件专业技术资格（高级）的加4分，本项最多得</w:t>
            </w:r>
            <w:r>
              <w:rPr>
                <w:rFonts w:hint="eastAsia" w:ascii="仿宋" w:hAnsi="仿宋" w:eastAsia="仿宋" w:cs="仿宋"/>
                <w:b/>
                <w:bCs/>
                <w:color w:val="auto"/>
                <w:kern w:val="0"/>
                <w:sz w:val="24"/>
                <w:szCs w:val="24"/>
                <w:lang w:val="en-US" w:eastAsia="zh-CN" w:bidi="ar-SA"/>
              </w:rPr>
              <w:t>8分</w:t>
            </w:r>
            <w:r>
              <w:rPr>
                <w:rFonts w:hint="eastAsia" w:ascii="仿宋" w:hAnsi="仿宋" w:eastAsia="仿宋" w:cs="仿宋"/>
                <w:color w:val="auto"/>
                <w:kern w:val="0"/>
                <w:sz w:val="24"/>
                <w:szCs w:val="24"/>
                <w:lang w:val="en-US" w:eastAsia="zh-CN" w:bidi="ar-SA"/>
              </w:rPr>
              <w:t>。（须提供相关证书扫描件）</w:t>
            </w:r>
          </w:p>
          <w:p w14:paraId="0BAF293B">
            <w:pPr>
              <w:keepNext w:val="0"/>
              <w:keepLines w:val="0"/>
              <w:pageBreakBefore w:val="0"/>
              <w:numPr>
                <w:ilvl w:val="0"/>
                <w:numId w:val="1"/>
              </w:numPr>
              <w:kinsoku/>
              <w:wordWrap/>
              <w:overflowPunct/>
              <w:autoSpaceDE/>
              <w:autoSpaceDN/>
              <w:bidi w:val="0"/>
              <w:adjustRightInd w:val="0"/>
              <w:snapToGrid w:val="0"/>
              <w:spacing w:line="240" w:lineRule="auto"/>
              <w:ind w:left="0" w:right="0" w:firstLine="0" w:firstLineChars="0"/>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供应商拟派为本项目的技术总监（1人）：具有计算机技术与软件专业技术资格（高级）、软件工程造价师、IT审计师、注册造价工程师，每提供一项证书得3分，最多得9分；具有中级工程师职称得2分，具有高级工程师职称得4分，最多得4分；本项最多得</w:t>
            </w:r>
            <w:r>
              <w:rPr>
                <w:rFonts w:hint="eastAsia" w:ascii="仿宋" w:hAnsi="仿宋" w:eastAsia="仿宋" w:cs="仿宋"/>
                <w:b/>
                <w:bCs/>
                <w:color w:val="auto"/>
                <w:kern w:val="0"/>
                <w:sz w:val="24"/>
                <w:szCs w:val="24"/>
                <w:lang w:val="en-US" w:eastAsia="zh-CN" w:bidi="ar-SA"/>
              </w:rPr>
              <w:t>13分</w:t>
            </w:r>
            <w:r>
              <w:rPr>
                <w:rFonts w:hint="eastAsia" w:ascii="仿宋" w:hAnsi="仿宋" w:eastAsia="仿宋" w:cs="仿宋"/>
                <w:color w:val="auto"/>
                <w:kern w:val="0"/>
                <w:sz w:val="24"/>
                <w:szCs w:val="24"/>
                <w:lang w:val="en-US" w:eastAsia="zh-CN" w:bidi="ar-SA"/>
              </w:rPr>
              <w:t xml:space="preserve">。职称证书提供多个只计最高分。（须提供相关证书扫描件）。 </w:t>
            </w:r>
          </w:p>
          <w:p w14:paraId="585DC0C2">
            <w:pPr>
              <w:keepNext w:val="0"/>
              <w:keepLines w:val="0"/>
              <w:pageBreakBefore w:val="0"/>
              <w:numPr>
                <w:ilvl w:val="0"/>
                <w:numId w:val="1"/>
              </w:numPr>
              <w:kinsoku/>
              <w:wordWrap/>
              <w:overflowPunct/>
              <w:autoSpaceDE/>
              <w:autoSpaceDN/>
              <w:bidi w:val="0"/>
              <w:adjustRightInd w:val="0"/>
              <w:snapToGrid w:val="0"/>
              <w:spacing w:line="240" w:lineRule="auto"/>
              <w:ind w:left="0" w:leftChars="0" w:right="0" w:rightChars="0" w:firstLine="0" w:firstLineChars="0"/>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供应商拟派的项目团队成员： 具有中级工程师职称得1分，具有高级工程师职称得3分，具有注册造价工程师证书得</w:t>
            </w:r>
            <w:r>
              <w:rPr>
                <w:rFonts w:hint="eastAsia" w:ascii="仿宋" w:hAnsi="仿宋" w:eastAsia="仿宋" w:cs="仿宋"/>
                <w:b w:val="0"/>
                <w:bCs w:val="0"/>
                <w:color w:val="auto"/>
                <w:kern w:val="0"/>
                <w:sz w:val="24"/>
                <w:szCs w:val="24"/>
                <w:lang w:val="en-US" w:eastAsia="zh-CN" w:bidi="ar-SA"/>
              </w:rPr>
              <w:t>3分</w:t>
            </w:r>
            <w:r>
              <w:rPr>
                <w:rFonts w:hint="eastAsia" w:ascii="仿宋" w:hAnsi="仿宋" w:eastAsia="仿宋" w:cs="仿宋"/>
                <w:color w:val="auto"/>
                <w:kern w:val="0"/>
                <w:sz w:val="24"/>
                <w:szCs w:val="24"/>
                <w:lang w:val="en-US" w:eastAsia="zh-CN" w:bidi="ar-SA"/>
              </w:rPr>
              <w:t>，具有咨询工程师（投资）资格证书得3分；每个证书只计一次分，一人多证仅计一次分，本项最多得</w:t>
            </w:r>
            <w:r>
              <w:rPr>
                <w:rFonts w:hint="eastAsia" w:ascii="仿宋" w:hAnsi="仿宋" w:eastAsia="仿宋" w:cs="仿宋"/>
                <w:b/>
                <w:bCs/>
                <w:color w:val="auto"/>
                <w:kern w:val="0"/>
                <w:sz w:val="24"/>
                <w:szCs w:val="24"/>
                <w:lang w:val="en-US" w:eastAsia="zh-CN" w:bidi="ar-SA"/>
              </w:rPr>
              <w:t>9分</w:t>
            </w:r>
            <w:r>
              <w:rPr>
                <w:rFonts w:hint="eastAsia" w:ascii="仿宋" w:hAnsi="仿宋" w:eastAsia="仿宋" w:cs="仿宋"/>
                <w:color w:val="auto"/>
                <w:kern w:val="0"/>
                <w:sz w:val="24"/>
                <w:szCs w:val="24"/>
                <w:lang w:val="en-US" w:eastAsia="zh-CN" w:bidi="ar-SA"/>
              </w:rPr>
              <w:t>。 （须提供相关证书扫描件）。</w:t>
            </w:r>
          </w:p>
          <w:p w14:paraId="6D90D96F">
            <w:pPr>
              <w:keepNext w:val="0"/>
              <w:keepLines w:val="0"/>
              <w:pageBreakBefore w:val="0"/>
              <w:numPr>
                <w:ilvl w:val="0"/>
                <w:numId w:val="0"/>
              </w:numPr>
              <w:kinsoku/>
              <w:wordWrap/>
              <w:overflowPunct/>
              <w:autoSpaceDE/>
              <w:autoSpaceDN/>
              <w:bidi w:val="0"/>
              <w:adjustRightInd w:val="0"/>
              <w:snapToGrid w:val="0"/>
              <w:spacing w:line="240" w:lineRule="auto"/>
              <w:ind w:leftChars="0" w:right="0" w:rightChars="0" w:firstLine="480" w:firstLineChars="200"/>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注：人员不重复计分，提供证书复印件并加盖供应商公章。</w:t>
            </w:r>
            <w:bookmarkStart w:id="0" w:name="_GoBack"/>
            <w:bookmarkEnd w:id="0"/>
          </w:p>
        </w:tc>
        <w:tc>
          <w:tcPr>
            <w:tcW w:w="303" w:type="pct"/>
            <w:tcBorders>
              <w:tl2br w:val="nil"/>
              <w:tr2bl w:val="nil"/>
            </w:tcBorders>
            <w:noWrap w:val="0"/>
            <w:vAlign w:val="center"/>
          </w:tcPr>
          <w:p w14:paraId="2EBC8FAB">
            <w:pPr>
              <w:keepNext w:val="0"/>
              <w:keepLines w:val="0"/>
              <w:pageBreakBefore w:val="0"/>
              <w:kinsoku/>
              <w:wordWrap/>
              <w:overflowPunct/>
              <w:autoSpaceDE/>
              <w:autoSpaceDN/>
              <w:bidi w:val="0"/>
              <w:adjustRightInd w:val="0"/>
              <w:snapToGrid w:val="0"/>
              <w:spacing w:line="240" w:lineRule="auto"/>
              <w:ind w:left="0" w:right="0" w:firstLine="0" w:firstLineChars="0"/>
              <w:rPr>
                <w:rFonts w:hint="eastAsia" w:ascii="仿宋" w:hAnsi="仿宋" w:eastAsia="仿宋" w:cs="仿宋"/>
                <w:color w:val="auto"/>
                <w:kern w:val="0"/>
                <w:sz w:val="24"/>
                <w:szCs w:val="24"/>
                <w:lang w:val="en-US" w:eastAsia="zh-CN" w:bidi="ar-SA"/>
              </w:rPr>
            </w:pPr>
          </w:p>
        </w:tc>
      </w:tr>
      <w:tr w14:paraId="393F627E">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108" w:type="dxa"/>
            <w:bottom w:w="0" w:type="dxa"/>
            <w:right w:w="108" w:type="dxa"/>
          </w:tblCellMar>
        </w:tblPrEx>
        <w:trPr>
          <w:trHeight w:val="1862" w:hRule="atLeast"/>
        </w:trPr>
        <w:tc>
          <w:tcPr>
            <w:tcW w:w="325" w:type="pct"/>
            <w:tcBorders>
              <w:tl2br w:val="nil"/>
              <w:tr2bl w:val="nil"/>
            </w:tcBorders>
            <w:noWrap w:val="0"/>
            <w:vAlign w:val="center"/>
          </w:tcPr>
          <w:p w14:paraId="4F67BC3B">
            <w:pPr>
              <w:keepNext w:val="0"/>
              <w:keepLines w:val="0"/>
              <w:pageBreakBefore w:val="0"/>
              <w:kinsoku/>
              <w:wordWrap/>
              <w:overflowPunct/>
              <w:autoSpaceDE/>
              <w:autoSpaceDN/>
              <w:bidi w:val="0"/>
              <w:adjustRightInd w:val="0"/>
              <w:snapToGrid w:val="0"/>
              <w:spacing w:line="240" w:lineRule="auto"/>
              <w:ind w:left="0" w:right="0"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w:t>
            </w:r>
          </w:p>
        </w:tc>
        <w:tc>
          <w:tcPr>
            <w:tcW w:w="475" w:type="pct"/>
            <w:tcBorders>
              <w:tl2br w:val="nil"/>
              <w:tr2bl w:val="nil"/>
            </w:tcBorders>
            <w:noWrap w:val="0"/>
            <w:vAlign w:val="center"/>
          </w:tcPr>
          <w:p w14:paraId="1C5FA229">
            <w:pPr>
              <w:keepNext w:val="0"/>
              <w:keepLines w:val="0"/>
              <w:pageBreakBefore w:val="0"/>
              <w:kinsoku/>
              <w:wordWrap/>
              <w:overflowPunct/>
              <w:autoSpaceDE/>
              <w:autoSpaceDN/>
              <w:bidi w:val="0"/>
              <w:adjustRightInd w:val="0"/>
              <w:snapToGrid w:val="0"/>
              <w:spacing w:line="240" w:lineRule="auto"/>
              <w:ind w:left="0" w:right="0" w:firstLine="0" w:firstLineChars="0"/>
              <w:jc w:val="center"/>
              <w:rPr>
                <w:rFonts w:hint="default"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业绩</w:t>
            </w:r>
          </w:p>
        </w:tc>
        <w:tc>
          <w:tcPr>
            <w:tcW w:w="396" w:type="pct"/>
            <w:tcBorders>
              <w:tl2br w:val="nil"/>
              <w:tr2bl w:val="nil"/>
            </w:tcBorders>
            <w:noWrap w:val="0"/>
            <w:vAlign w:val="center"/>
          </w:tcPr>
          <w:p w14:paraId="38CD29BB">
            <w:pPr>
              <w:keepNext w:val="0"/>
              <w:keepLines w:val="0"/>
              <w:pageBreakBefore w:val="0"/>
              <w:widowControl/>
              <w:kinsoku/>
              <w:wordWrap/>
              <w:overflowPunct/>
              <w:autoSpaceDE/>
              <w:autoSpaceDN/>
              <w:bidi w:val="0"/>
              <w:adjustRightInd w:val="0"/>
              <w:snapToGrid w:val="0"/>
              <w:spacing w:line="240" w:lineRule="auto"/>
              <w:ind w:left="0" w:right="0" w:firstLine="0" w:firstLineChars="0"/>
              <w:jc w:val="both"/>
              <w:textAlignment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10</w:t>
            </w:r>
          </w:p>
        </w:tc>
        <w:tc>
          <w:tcPr>
            <w:tcW w:w="3499" w:type="pct"/>
            <w:tcBorders>
              <w:tl2br w:val="nil"/>
              <w:tr2bl w:val="nil"/>
            </w:tcBorders>
            <w:noWrap w:val="0"/>
            <w:vAlign w:val="center"/>
          </w:tcPr>
          <w:p w14:paraId="5625FEE6">
            <w:pPr>
              <w:keepNext w:val="0"/>
              <w:keepLines w:val="0"/>
              <w:pageBreakBefore w:val="0"/>
              <w:numPr>
                <w:ilvl w:val="0"/>
                <w:numId w:val="0"/>
              </w:numPr>
              <w:kinsoku/>
              <w:wordWrap/>
              <w:overflowPunct/>
              <w:autoSpaceDE/>
              <w:autoSpaceDN/>
              <w:bidi w:val="0"/>
              <w:adjustRightInd w:val="0"/>
              <w:snapToGrid w:val="0"/>
              <w:spacing w:line="240" w:lineRule="auto"/>
              <w:ind w:leftChars="0" w:right="0" w:rightChars="0"/>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供应商具有2022年1月1日至比选截止日签署有似业绩的，每提供1个得2分，本项最多得10分。【提供合同复印件，类似业绩是指：类似信息化类造价评审服务业绩】</w:t>
            </w:r>
          </w:p>
        </w:tc>
        <w:tc>
          <w:tcPr>
            <w:tcW w:w="303" w:type="pct"/>
            <w:tcBorders>
              <w:tl2br w:val="nil"/>
              <w:tr2bl w:val="nil"/>
            </w:tcBorders>
            <w:noWrap w:val="0"/>
            <w:vAlign w:val="center"/>
          </w:tcPr>
          <w:p w14:paraId="650DB04D">
            <w:pPr>
              <w:keepNext w:val="0"/>
              <w:keepLines w:val="0"/>
              <w:pageBreakBefore w:val="0"/>
              <w:kinsoku/>
              <w:wordWrap/>
              <w:overflowPunct/>
              <w:autoSpaceDE/>
              <w:autoSpaceDN/>
              <w:bidi w:val="0"/>
              <w:adjustRightInd w:val="0"/>
              <w:snapToGrid w:val="0"/>
              <w:spacing w:line="240" w:lineRule="auto"/>
              <w:ind w:left="0" w:right="0" w:firstLine="0" w:firstLineChars="0"/>
              <w:rPr>
                <w:rFonts w:hint="eastAsia" w:ascii="仿宋" w:hAnsi="仿宋" w:eastAsia="仿宋" w:cs="仿宋"/>
                <w:color w:val="auto"/>
                <w:kern w:val="0"/>
                <w:sz w:val="24"/>
                <w:szCs w:val="24"/>
                <w:lang w:val="en-US" w:eastAsia="zh-CN" w:bidi="ar-SA"/>
              </w:rPr>
            </w:pPr>
          </w:p>
        </w:tc>
      </w:tr>
    </w:tbl>
    <w:p w14:paraId="7071AE18">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仿宋" w:hAnsi="仿宋" w:eastAsia="仿宋" w:cs="仿宋"/>
          <w:b/>
          <w:bCs w:val="0"/>
          <w:color w:val="auto"/>
          <w:kern w:val="2"/>
          <w:sz w:val="24"/>
          <w:szCs w:val="22"/>
          <w:lang w:val="en-US" w:eastAsia="zh-CN"/>
        </w:rPr>
      </w:pPr>
    </w:p>
    <w:p w14:paraId="1FE73A95"/>
    <w:sectPr>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48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BFA5D8"/>
    <w:multiLevelType w:val="singleLevel"/>
    <w:tmpl w:val="CDBFA5D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356228"/>
    <w:rsid w:val="6E3562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Times New Roman" w:eastAsia="宋体" w:cs="Times New Roman"/>
      <w:sz w:val="3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toa heading"/>
    <w:basedOn w:val="1"/>
    <w:next w:val="1"/>
    <w:qFormat/>
    <w:uiPriority w:val="0"/>
    <w:pPr>
      <w:spacing w:before="120" w:beforeLines="0" w:beforeAutospacing="0"/>
    </w:pPr>
    <w:rPr>
      <w:rFonts w:ascii="Arial" w:hAnsi="Arial"/>
      <w:sz w:val="24"/>
    </w:rPr>
  </w:style>
  <w:style w:type="paragraph" w:styleId="3">
    <w:name w:val="Body Text"/>
    <w:basedOn w:val="1"/>
    <w:next w:val="4"/>
    <w:qFormat/>
    <w:uiPriority w:val="0"/>
    <w:pPr>
      <w:spacing w:after="120"/>
    </w:pPr>
  </w:style>
  <w:style w:type="paragraph" w:styleId="4">
    <w:name w:val="Body Text First Indent"/>
    <w:basedOn w:val="3"/>
    <w:next w:val="5"/>
    <w:unhideWhenUsed/>
    <w:qFormat/>
    <w:uiPriority w:val="99"/>
    <w:pPr>
      <w:ind w:firstLine="420" w:firstLineChars="100"/>
    </w:pPr>
  </w:style>
  <w:style w:type="paragraph" w:customStyle="1" w:styleId="5">
    <w:name w:val="段落正文"/>
    <w:basedOn w:val="2"/>
    <w:qFormat/>
    <w:uiPriority w:val="0"/>
    <w:pPr>
      <w:spacing w:beforeLines="50" w:line="360" w:lineRule="auto"/>
      <w:ind w:firstLine="200" w:firstLineChars="200"/>
    </w:pPr>
    <w:rPr>
      <w:rFonts w:ascii="Times New Roman"/>
      <w:spacing w:val="2"/>
      <w:sz w:val="24"/>
    </w:rPr>
  </w:style>
  <w:style w:type="paragraph" w:styleId="6">
    <w:name w:val="Normal (Web)"/>
    <w:basedOn w:val="1"/>
    <w:qFormat/>
    <w:uiPriority w:val="0"/>
    <w:pPr>
      <w:widowControl/>
      <w:spacing w:before="100" w:beforeAutospacing="1" w:after="100" w:afterAutospacing="1"/>
      <w:jc w:val="left"/>
    </w:pPr>
    <w:rPr>
      <w:rFonts w:ascii="宋体"/>
      <w:kern w:val="0"/>
      <w:sz w:val="18"/>
      <w:szCs w:val="18"/>
    </w:rPr>
  </w:style>
  <w:style w:type="paragraph" w:customStyle="1" w:styleId="9">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5</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2025-06-20T07:16:00Z</dcterms:created>
  <dc:creator>科</dc:creator>
  <cp:lastModifiedBy>科</cp:lastModifiedBy>
  <dcterms:modified xsi:type="dcterms:W3CDTF">2025-06-20T07:23:08Z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8FEE8EFABCE74756B9B878F05F10F38B_11</vt:lpwstr>
  </property>
  <property fmtid="{D5CDD505-2E9C-101B-9397-08002B2CF9AE}" pid="4" name="KSOTemplateDocerSaveRecord">
    <vt:lpwstr>eyJoZGlkIjoiNDYzN2JmNjIzNjlhNTE3ZTQwZDI2MzMzN2Y0MTJjOTUiLCJ1c2VySWQiOiI2MzQ5MDcyNzUifQ==</vt:lpwstr>
  </property>
</Properties>
</file>