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9C969">
      <w:pPr>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比选文件</w:t>
      </w:r>
      <w:bookmarkStart w:id="14" w:name="_GoBack"/>
      <w:bookmarkEnd w:id="14"/>
    </w:p>
    <w:p w14:paraId="62422F4B">
      <w:pPr>
        <w:pStyle w:val="2"/>
        <w:spacing w:line="360" w:lineRule="auto"/>
        <w:jc w:val="both"/>
        <w:rPr>
          <w:rFonts w:hint="eastAsia" w:ascii="方正仿宋_GB2312" w:hAnsi="方正仿宋_GB2312" w:eastAsia="方正仿宋_GB2312" w:cs="方正仿宋_GB2312"/>
          <w:color w:val="auto"/>
          <w:kern w:val="2"/>
          <w:sz w:val="30"/>
          <w:szCs w:val="30"/>
        </w:rPr>
      </w:pPr>
      <w:r>
        <w:rPr>
          <w:rFonts w:hint="eastAsia" w:ascii="方正仿宋_GB2312" w:hAnsi="方正仿宋_GB2312" w:eastAsia="方正仿宋_GB2312" w:cs="方正仿宋_GB2312"/>
          <w:b/>
          <w:bCs/>
          <w:color w:val="auto"/>
          <w:kern w:val="2"/>
          <w:sz w:val="30"/>
          <w:szCs w:val="30"/>
        </w:rPr>
        <w:t>一、采购项目简介：</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3413"/>
        <w:gridCol w:w="1042"/>
        <w:gridCol w:w="1386"/>
        <w:gridCol w:w="1705"/>
      </w:tblGrid>
      <w:tr w14:paraId="46F3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14:paraId="2E965C7D">
            <w:pPr>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3413" w:type="dxa"/>
            <w:vAlign w:val="center"/>
          </w:tcPr>
          <w:p w14:paraId="3733222A">
            <w:pPr>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名称</w:t>
            </w:r>
          </w:p>
        </w:tc>
        <w:tc>
          <w:tcPr>
            <w:tcW w:w="1042" w:type="dxa"/>
            <w:vAlign w:val="center"/>
          </w:tcPr>
          <w:p w14:paraId="14508FE0">
            <w:pPr>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单位</w:t>
            </w:r>
          </w:p>
        </w:tc>
        <w:tc>
          <w:tcPr>
            <w:tcW w:w="1386" w:type="dxa"/>
            <w:vAlign w:val="center"/>
          </w:tcPr>
          <w:p w14:paraId="2151B578">
            <w:pPr>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数量</w:t>
            </w:r>
          </w:p>
        </w:tc>
        <w:tc>
          <w:tcPr>
            <w:tcW w:w="1705" w:type="dxa"/>
            <w:vAlign w:val="center"/>
          </w:tcPr>
          <w:p w14:paraId="2A4D85E5">
            <w:pPr>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备注</w:t>
            </w:r>
          </w:p>
        </w:tc>
      </w:tr>
      <w:tr w14:paraId="6158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14:paraId="79BBCE3B">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3413" w:type="dxa"/>
            <w:shd w:val="clear" w:color="auto" w:fill="auto"/>
            <w:vAlign w:val="center"/>
          </w:tcPr>
          <w:p w14:paraId="5B65B576">
            <w:pPr>
              <w:widowControl/>
              <w:spacing w:line="360" w:lineRule="auto"/>
              <w:jc w:val="left"/>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COD水质在线分析仪</w:t>
            </w:r>
          </w:p>
        </w:tc>
        <w:tc>
          <w:tcPr>
            <w:tcW w:w="1042" w:type="dxa"/>
            <w:vAlign w:val="center"/>
          </w:tcPr>
          <w:p w14:paraId="71134FFB">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台</w:t>
            </w:r>
          </w:p>
        </w:tc>
        <w:tc>
          <w:tcPr>
            <w:tcW w:w="1386" w:type="dxa"/>
            <w:vAlign w:val="center"/>
          </w:tcPr>
          <w:p w14:paraId="3CB12E25">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705" w:type="dxa"/>
            <w:vAlign w:val="center"/>
          </w:tcPr>
          <w:p w14:paraId="10589633">
            <w:pPr>
              <w:spacing w:line="360" w:lineRule="auto"/>
              <w:rPr>
                <w:rFonts w:hint="eastAsia" w:ascii="仿宋" w:hAnsi="仿宋" w:eastAsia="仿宋" w:cs="仿宋"/>
                <w:color w:val="auto"/>
                <w:sz w:val="24"/>
                <w:szCs w:val="24"/>
              </w:rPr>
            </w:pPr>
          </w:p>
        </w:tc>
      </w:tr>
      <w:tr w14:paraId="2B6D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14:paraId="1C7C3812">
            <w:pPr>
              <w:spacing w:line="360" w:lineRule="auto"/>
              <w:jc w:val="center"/>
              <w:rPr>
                <w:color w:val="auto"/>
              </w:rPr>
            </w:pPr>
            <w:r>
              <w:rPr>
                <w:rFonts w:hint="eastAsia" w:ascii="仿宋" w:hAnsi="仿宋" w:eastAsia="仿宋" w:cs="仿宋"/>
                <w:color w:val="auto"/>
                <w:sz w:val="24"/>
                <w:szCs w:val="24"/>
              </w:rPr>
              <w:t>2</w:t>
            </w:r>
          </w:p>
        </w:tc>
        <w:tc>
          <w:tcPr>
            <w:tcW w:w="3413" w:type="dxa"/>
            <w:vAlign w:val="center"/>
          </w:tcPr>
          <w:p w14:paraId="652A22B8">
            <w:pPr>
              <w:widowControl/>
              <w:jc w:val="left"/>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氨氮水质在线自动监测仪</w:t>
            </w:r>
          </w:p>
        </w:tc>
        <w:tc>
          <w:tcPr>
            <w:tcW w:w="1042" w:type="dxa"/>
            <w:vAlign w:val="center"/>
          </w:tcPr>
          <w:p w14:paraId="5AD14A20">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台</w:t>
            </w:r>
          </w:p>
        </w:tc>
        <w:tc>
          <w:tcPr>
            <w:tcW w:w="1386" w:type="dxa"/>
            <w:shd w:val="clear" w:color="auto" w:fill="auto"/>
            <w:vAlign w:val="center"/>
          </w:tcPr>
          <w:p w14:paraId="2B0F87D8">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705" w:type="dxa"/>
            <w:vAlign w:val="center"/>
          </w:tcPr>
          <w:p w14:paraId="4D9C7797">
            <w:pPr>
              <w:spacing w:line="360" w:lineRule="auto"/>
              <w:rPr>
                <w:rFonts w:hint="eastAsia" w:ascii="仿宋" w:hAnsi="仿宋" w:eastAsia="仿宋" w:cs="仿宋"/>
                <w:color w:val="auto"/>
                <w:sz w:val="24"/>
                <w:szCs w:val="24"/>
              </w:rPr>
            </w:pPr>
          </w:p>
        </w:tc>
      </w:tr>
      <w:tr w14:paraId="0F9F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14:paraId="4A2ECB5E">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3413" w:type="dxa"/>
            <w:vAlign w:val="center"/>
          </w:tcPr>
          <w:p w14:paraId="58064A35">
            <w:pPr>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数据采集传输仪</w:t>
            </w:r>
          </w:p>
        </w:tc>
        <w:tc>
          <w:tcPr>
            <w:tcW w:w="1042" w:type="dxa"/>
            <w:vAlign w:val="center"/>
          </w:tcPr>
          <w:p w14:paraId="7FCE829B">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台</w:t>
            </w:r>
          </w:p>
        </w:tc>
        <w:tc>
          <w:tcPr>
            <w:tcW w:w="1386" w:type="dxa"/>
            <w:shd w:val="clear" w:color="auto" w:fill="auto"/>
            <w:vAlign w:val="center"/>
          </w:tcPr>
          <w:p w14:paraId="6D36E51B">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705" w:type="dxa"/>
            <w:vAlign w:val="center"/>
          </w:tcPr>
          <w:p w14:paraId="7548DE23">
            <w:pPr>
              <w:spacing w:line="360" w:lineRule="auto"/>
              <w:rPr>
                <w:rFonts w:hint="eastAsia" w:ascii="仿宋" w:hAnsi="仿宋" w:eastAsia="仿宋" w:cs="仿宋"/>
                <w:color w:val="auto"/>
                <w:sz w:val="24"/>
                <w:szCs w:val="24"/>
              </w:rPr>
            </w:pPr>
          </w:p>
        </w:tc>
      </w:tr>
      <w:tr w14:paraId="6BC8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14:paraId="4EB4A849">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3413" w:type="dxa"/>
            <w:vAlign w:val="center"/>
          </w:tcPr>
          <w:p w14:paraId="0F4814DA">
            <w:pPr>
              <w:spacing w:line="360" w:lineRule="auto"/>
              <w:jc w:val="left"/>
              <w:rPr>
                <w:rFonts w:hint="eastAsia" w:ascii="仿宋" w:hAnsi="仿宋" w:eastAsia="仿宋" w:cs="仿宋"/>
                <w:color w:val="auto"/>
                <w:sz w:val="24"/>
                <w:szCs w:val="24"/>
              </w:rPr>
            </w:pPr>
            <w:r>
              <w:rPr>
                <w:rFonts w:hint="eastAsia" w:ascii="仿宋" w:hAnsi="仿宋" w:eastAsia="仿宋" w:cs="仿宋"/>
                <w:color w:val="auto"/>
                <w:kern w:val="2"/>
                <w:sz w:val="24"/>
                <w:szCs w:val="24"/>
              </w:rPr>
              <w:t>在线PH计</w:t>
            </w:r>
          </w:p>
        </w:tc>
        <w:tc>
          <w:tcPr>
            <w:tcW w:w="1042" w:type="dxa"/>
            <w:vAlign w:val="center"/>
          </w:tcPr>
          <w:p w14:paraId="11A7879F">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台</w:t>
            </w:r>
          </w:p>
        </w:tc>
        <w:tc>
          <w:tcPr>
            <w:tcW w:w="1386" w:type="dxa"/>
            <w:shd w:val="clear" w:color="auto" w:fill="auto"/>
            <w:vAlign w:val="center"/>
          </w:tcPr>
          <w:p w14:paraId="589BB3B0">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705" w:type="dxa"/>
            <w:vAlign w:val="center"/>
          </w:tcPr>
          <w:p w14:paraId="23733214">
            <w:pPr>
              <w:spacing w:line="360" w:lineRule="auto"/>
              <w:rPr>
                <w:rFonts w:hint="eastAsia" w:ascii="仿宋" w:hAnsi="仿宋" w:eastAsia="仿宋" w:cs="仿宋"/>
                <w:color w:val="auto"/>
                <w:sz w:val="24"/>
                <w:szCs w:val="24"/>
              </w:rPr>
            </w:pPr>
          </w:p>
        </w:tc>
      </w:tr>
      <w:tr w14:paraId="0EB3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vAlign w:val="center"/>
          </w:tcPr>
          <w:p w14:paraId="690B1C33">
            <w:pPr>
              <w:spacing w:line="360" w:lineRule="auto"/>
              <w:rPr>
                <w:rFonts w:hint="eastAsia" w:hAnsi="宋体" w:cs="宋体"/>
                <w:color w:val="auto"/>
                <w:sz w:val="21"/>
                <w:szCs w:val="21"/>
              </w:rPr>
            </w:pPr>
            <w:r>
              <w:rPr>
                <w:rFonts w:hint="eastAsia" w:ascii="仿宋" w:hAnsi="仿宋" w:eastAsia="仿宋" w:cs="仿宋"/>
                <w:color w:val="auto"/>
                <w:sz w:val="24"/>
                <w:szCs w:val="24"/>
              </w:rPr>
              <w:t>其他：此项目采购设备包含安装调试、72小时不间断性能测试并出具报告、第三方验收比对并出具报告、验收及编辑验收资料并装订成册完成协助企业完成环保备案。</w:t>
            </w:r>
          </w:p>
        </w:tc>
      </w:tr>
    </w:tbl>
    <w:p w14:paraId="1967CB59">
      <w:pPr>
        <w:rPr>
          <w:rFonts w:hint="eastAsia" w:ascii="方正仿宋_GB2312" w:hAnsi="方正仿宋_GB2312" w:eastAsia="方正仿宋_GB2312" w:cs="方正仿宋_GB2312"/>
          <w:b/>
          <w:bCs/>
          <w:color w:val="auto"/>
          <w:kern w:val="2"/>
          <w:sz w:val="30"/>
          <w:szCs w:val="30"/>
        </w:rPr>
      </w:pPr>
      <w:r>
        <w:rPr>
          <w:rFonts w:hint="eastAsia" w:ascii="方正仿宋_GB2312" w:hAnsi="方正仿宋_GB2312" w:eastAsia="方正仿宋_GB2312" w:cs="方正仿宋_GB2312"/>
          <w:b/>
          <w:bCs/>
          <w:color w:val="auto"/>
          <w:kern w:val="2"/>
          <w:sz w:val="30"/>
          <w:szCs w:val="30"/>
        </w:rPr>
        <w:t>二、</w:t>
      </w:r>
      <w:r>
        <w:rPr>
          <w:rFonts w:hint="eastAsia" w:ascii="仿宋" w:hAnsi="仿宋" w:eastAsia="仿宋" w:cs="仿宋"/>
          <w:b/>
          <w:bCs/>
          <w:color w:val="auto"/>
          <w:kern w:val="2"/>
          <w:sz w:val="28"/>
          <w:szCs w:val="28"/>
        </w:rPr>
        <w:t>供应商应具备的资格条件</w:t>
      </w:r>
      <w:r>
        <w:rPr>
          <w:rFonts w:hint="eastAsia" w:ascii="方正仿宋_GB2312" w:hAnsi="方正仿宋_GB2312" w:eastAsia="方正仿宋_GB2312" w:cs="方正仿宋_GB2312"/>
          <w:b/>
          <w:bCs/>
          <w:color w:val="auto"/>
          <w:kern w:val="2"/>
          <w:sz w:val="30"/>
          <w:szCs w:val="30"/>
        </w:rPr>
        <w:t>：</w:t>
      </w:r>
    </w:p>
    <w:p w14:paraId="24158743">
      <w:pPr>
        <w:spacing w:line="360" w:lineRule="auto"/>
        <w:rPr>
          <w:rFonts w:hint="eastAsia" w:ascii="方正仿宋简体" w:hAnsi="方正仿宋简体" w:eastAsia="方正仿宋简体" w:cs="方正仿宋简体"/>
          <w:color w:val="auto"/>
          <w:kern w:val="2"/>
          <w:sz w:val="30"/>
          <w:szCs w:val="30"/>
        </w:rPr>
      </w:pPr>
      <w:r>
        <w:rPr>
          <w:rFonts w:hint="eastAsia" w:ascii="方正仿宋_GB2312" w:hAnsi="方正仿宋_GB2312" w:eastAsia="方正仿宋_GB2312" w:cs="方正仿宋_GB2312"/>
          <w:color w:val="auto"/>
          <w:kern w:val="2"/>
          <w:sz w:val="30"/>
          <w:szCs w:val="30"/>
        </w:rPr>
        <w:t>1.具有独立承担民事责任的能力；</w:t>
      </w:r>
      <w:r>
        <w:rPr>
          <w:rFonts w:hint="eastAsia" w:ascii="方正仿宋简体" w:hAnsi="方正仿宋简体" w:eastAsia="方正仿宋简体" w:cs="方正仿宋简体"/>
          <w:color w:val="auto"/>
          <w:kern w:val="2"/>
          <w:sz w:val="30"/>
          <w:szCs w:val="30"/>
        </w:rPr>
        <w:t>【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34BA736C">
      <w:pPr>
        <w:spacing w:line="360" w:lineRule="auto"/>
        <w:rPr>
          <w:rFonts w:hint="eastAsia" w:ascii="方正仿宋简体" w:hAnsi="方正仿宋简体" w:eastAsia="方正仿宋简体" w:cs="方正仿宋简体"/>
          <w:color w:val="auto"/>
          <w:kern w:val="2"/>
          <w:sz w:val="30"/>
          <w:szCs w:val="30"/>
        </w:rPr>
      </w:pPr>
      <w:r>
        <w:rPr>
          <w:rFonts w:hint="eastAsia" w:ascii="方正仿宋简体" w:hAnsi="方正仿宋简体" w:eastAsia="方正仿宋简体" w:cs="方正仿宋简体"/>
          <w:color w:val="auto"/>
          <w:kern w:val="2"/>
          <w:sz w:val="30"/>
          <w:szCs w:val="30"/>
        </w:rPr>
        <w:t>2.具有良好的商业信誉和健全的财务会计制度；【提供承诺函】</w:t>
      </w:r>
    </w:p>
    <w:p w14:paraId="1B76D441">
      <w:pPr>
        <w:spacing w:line="360" w:lineRule="auto"/>
        <w:rPr>
          <w:rFonts w:hint="eastAsia" w:ascii="方正仿宋简体" w:hAnsi="方正仿宋简体" w:eastAsia="方正仿宋简体" w:cs="方正仿宋简体"/>
          <w:color w:val="auto"/>
          <w:kern w:val="2"/>
          <w:sz w:val="30"/>
          <w:szCs w:val="30"/>
        </w:rPr>
      </w:pPr>
      <w:r>
        <w:rPr>
          <w:rFonts w:hint="eastAsia" w:ascii="方正仿宋简体" w:hAnsi="方正仿宋简体" w:eastAsia="方正仿宋简体" w:cs="方正仿宋简体"/>
          <w:color w:val="auto"/>
          <w:kern w:val="2"/>
          <w:sz w:val="30"/>
          <w:szCs w:val="30"/>
        </w:rPr>
        <w:t>3.具有履行合同所必需的设备和专业技术能力；【提供承诺函】</w:t>
      </w:r>
    </w:p>
    <w:p w14:paraId="70515837">
      <w:pPr>
        <w:spacing w:line="360" w:lineRule="auto"/>
        <w:rPr>
          <w:rFonts w:hint="eastAsia" w:ascii="方正仿宋简体" w:hAnsi="方正仿宋简体" w:eastAsia="方正仿宋简体" w:cs="方正仿宋简体"/>
          <w:color w:val="auto"/>
          <w:kern w:val="2"/>
          <w:sz w:val="30"/>
          <w:szCs w:val="30"/>
        </w:rPr>
      </w:pPr>
      <w:r>
        <w:rPr>
          <w:rFonts w:hint="eastAsia" w:ascii="方正仿宋简体" w:hAnsi="方正仿宋简体" w:eastAsia="方正仿宋简体" w:cs="方正仿宋简体"/>
          <w:color w:val="auto"/>
          <w:kern w:val="2"/>
          <w:sz w:val="30"/>
          <w:szCs w:val="30"/>
        </w:rPr>
        <w:t>4.有依法缴纳税收和社会保障资金的良好记录；【提供承诺函】</w:t>
      </w:r>
    </w:p>
    <w:p w14:paraId="55FCC93D">
      <w:pPr>
        <w:spacing w:line="360" w:lineRule="auto"/>
        <w:rPr>
          <w:rFonts w:hint="eastAsia" w:ascii="方正仿宋简体" w:hAnsi="方正仿宋简体" w:eastAsia="方正仿宋简体" w:cs="方正仿宋简体"/>
          <w:color w:val="auto"/>
          <w:kern w:val="2"/>
          <w:sz w:val="30"/>
          <w:szCs w:val="30"/>
        </w:rPr>
      </w:pPr>
      <w:r>
        <w:rPr>
          <w:rFonts w:hint="eastAsia" w:ascii="方正仿宋简体" w:hAnsi="方正仿宋简体" w:eastAsia="方正仿宋简体" w:cs="方正仿宋简体"/>
          <w:color w:val="auto"/>
          <w:kern w:val="2"/>
          <w:sz w:val="30"/>
          <w:szCs w:val="30"/>
        </w:rPr>
        <w:t>5.参加采购活动前三年内，在经营活动中没有重大违法记录；【提供承诺函】</w:t>
      </w:r>
    </w:p>
    <w:p w14:paraId="1946AEA0">
      <w:pPr>
        <w:spacing w:line="360" w:lineRule="auto"/>
        <w:rPr>
          <w:rFonts w:hint="eastAsia" w:ascii="方正仿宋简体" w:hAnsi="方正仿宋简体" w:eastAsia="方正仿宋简体" w:cs="方正仿宋简体"/>
          <w:color w:val="auto"/>
          <w:kern w:val="2"/>
          <w:sz w:val="30"/>
          <w:szCs w:val="30"/>
        </w:rPr>
      </w:pPr>
      <w:r>
        <w:rPr>
          <w:rFonts w:hint="eastAsia" w:ascii="方正仿宋简体" w:hAnsi="方正仿宋简体" w:eastAsia="方正仿宋简体" w:cs="方正仿宋简体"/>
          <w:color w:val="auto"/>
          <w:kern w:val="2"/>
          <w:sz w:val="30"/>
          <w:szCs w:val="30"/>
        </w:rPr>
        <w:t>6.法律、行政法规规定的其他条件；</w:t>
      </w:r>
    </w:p>
    <w:p w14:paraId="19342AD3">
      <w:pPr>
        <w:spacing w:line="360" w:lineRule="auto"/>
        <w:rPr>
          <w:rFonts w:hint="eastAsia" w:ascii="方正仿宋_GB2312" w:hAnsi="方正仿宋_GB2312" w:eastAsia="方正仿宋_GB2312" w:cs="方正仿宋_GB2312"/>
          <w:color w:val="auto"/>
          <w:kern w:val="2"/>
          <w:sz w:val="30"/>
          <w:szCs w:val="30"/>
        </w:rPr>
      </w:pPr>
      <w:r>
        <w:rPr>
          <w:rFonts w:hint="eastAsia" w:ascii="方正仿宋简体" w:hAnsi="方正仿宋简体" w:eastAsia="方正仿宋简体" w:cs="方正仿宋简体"/>
          <w:color w:val="auto"/>
          <w:kern w:val="2"/>
          <w:sz w:val="30"/>
          <w:szCs w:val="30"/>
        </w:rPr>
        <w:t>7.本项目不接受联合体参与本次比选。</w:t>
      </w:r>
    </w:p>
    <w:p w14:paraId="0BBD2223">
      <w:pPr>
        <w:spacing w:line="360" w:lineRule="auto"/>
        <w:rPr>
          <w:rFonts w:hint="eastAsia" w:ascii="仿宋" w:hAnsi="仿宋" w:eastAsia="仿宋" w:cs="仿宋"/>
          <w:b/>
          <w:bCs/>
          <w:color w:val="auto"/>
          <w:kern w:val="2"/>
          <w:sz w:val="28"/>
          <w:szCs w:val="28"/>
        </w:rPr>
      </w:pPr>
      <w:r>
        <w:rPr>
          <w:rFonts w:hint="eastAsia" w:ascii="仿宋" w:hAnsi="仿宋" w:eastAsia="仿宋" w:cs="仿宋"/>
          <w:b/>
          <w:bCs/>
          <w:color w:val="auto"/>
          <w:kern w:val="2"/>
          <w:sz w:val="28"/>
          <w:szCs w:val="28"/>
        </w:rPr>
        <w:t>三、项目技术、服务及商务要求及其他商务要求</w:t>
      </w:r>
    </w:p>
    <w:p w14:paraId="7EAECD42">
      <w:pPr>
        <w:pStyle w:val="6"/>
        <w:rPr>
          <w:color w:val="auto"/>
        </w:rPr>
      </w:pPr>
      <w:r>
        <w:rPr>
          <w:rFonts w:hint="eastAsia" w:ascii="仿宋" w:hAnsi="仿宋" w:eastAsia="仿宋" w:cs="仿宋"/>
          <w:b/>
          <w:bCs/>
          <w:color w:val="auto"/>
          <w:kern w:val="2"/>
          <w:sz w:val="28"/>
          <w:szCs w:val="28"/>
        </w:rPr>
        <w:t>1、技术要求</w:t>
      </w:r>
    </w:p>
    <w:tbl>
      <w:tblPr>
        <w:tblStyle w:val="16"/>
        <w:tblW w:w="91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350"/>
        <w:gridCol w:w="7037"/>
      </w:tblGrid>
      <w:tr w14:paraId="0A7C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14:paraId="30560E98">
            <w:pPr>
              <w:pStyle w:val="9"/>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1350" w:type="dxa"/>
          </w:tcPr>
          <w:p w14:paraId="23E88716">
            <w:pPr>
              <w:pStyle w:val="9"/>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名称</w:t>
            </w:r>
          </w:p>
        </w:tc>
        <w:tc>
          <w:tcPr>
            <w:tcW w:w="7037" w:type="dxa"/>
          </w:tcPr>
          <w:p w14:paraId="0DAEE22A">
            <w:pPr>
              <w:pStyle w:val="9"/>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技术参数</w:t>
            </w:r>
          </w:p>
        </w:tc>
      </w:tr>
      <w:tr w14:paraId="5AE4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Borders>
              <w:bottom w:val="single" w:color="auto" w:sz="4" w:space="0"/>
            </w:tcBorders>
          </w:tcPr>
          <w:p w14:paraId="759D9BCE">
            <w:pPr>
              <w:pStyle w:val="9"/>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1</w:t>
            </w:r>
          </w:p>
        </w:tc>
        <w:tc>
          <w:tcPr>
            <w:tcW w:w="1350" w:type="dxa"/>
            <w:tcBorders>
              <w:bottom w:val="single" w:color="auto" w:sz="4" w:space="0"/>
            </w:tcBorders>
          </w:tcPr>
          <w:p w14:paraId="4C0F9928">
            <w:pPr>
              <w:pStyle w:val="9"/>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 COD在线水质在线自动监测仪</w:t>
            </w:r>
          </w:p>
          <w:p w14:paraId="0CB306E7">
            <w:pPr>
              <w:pStyle w:val="9"/>
              <w:spacing w:line="360" w:lineRule="auto"/>
              <w:jc w:val="center"/>
              <w:rPr>
                <w:rFonts w:hint="eastAsia" w:ascii="仿宋" w:hAnsi="仿宋" w:eastAsia="仿宋" w:cs="仿宋"/>
                <w:b/>
                <w:bCs/>
                <w:color w:val="auto"/>
                <w:sz w:val="24"/>
                <w:szCs w:val="24"/>
              </w:rPr>
            </w:pPr>
          </w:p>
        </w:tc>
        <w:tc>
          <w:tcPr>
            <w:tcW w:w="7037" w:type="dxa"/>
          </w:tcPr>
          <w:p w14:paraId="6CABCB4A">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测量方法：重铬酸钾氧化分光光度法</w:t>
            </w:r>
          </w:p>
          <w:p w14:paraId="0D19683F">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量程：0-200，可扩展</w:t>
            </w:r>
          </w:p>
          <w:p w14:paraId="6DBE19E2">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★重复性：≤0.5%</w:t>
            </w:r>
          </w:p>
          <w:p w14:paraId="12EBAF90">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★24h低浓度漂移：±1.5mg/L</w:t>
            </w:r>
          </w:p>
          <w:p w14:paraId="15B3A528">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★24h高浓度漂移：≤0.5%</w:t>
            </w:r>
          </w:p>
          <w:p w14:paraId="1B27AA7E">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★示值误差（测试溶液浓度相对于检测范围的20%）：±3.0%，（测试溶液浓度相对于检测范围的50%）：±1.5%，（测试溶液浓度相对于检测范围的80%）：±1.5%</w:t>
            </w:r>
          </w:p>
          <w:p w14:paraId="4AA9B42C">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定量下限：≤2.5mg/L</w:t>
            </w:r>
          </w:p>
          <w:p w14:paraId="7C282942">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记忆效应：（测试溶液浓度相对于检测范围的百分比80%→20%）：±0.5mg/L；（测试溶液浓度相对于检测范围的百分比20%→80%）：±1.0mg/L</w:t>
            </w:r>
          </w:p>
          <w:p w14:paraId="4A980963">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★电压影响：±1.0%</w:t>
            </w:r>
          </w:p>
          <w:p w14:paraId="4DDF8875">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环境温度影响：±4.0%</w:t>
            </w:r>
          </w:p>
          <w:p w14:paraId="420B68D6">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最小维护周期：≥168h</w:t>
            </w:r>
          </w:p>
          <w:p w14:paraId="55B5A498">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数据有效率：≥95.0 %</w:t>
            </w:r>
          </w:p>
          <w:p w14:paraId="6C42D707">
            <w:pPr>
              <w:pStyle w:val="26"/>
              <w:numPr>
                <w:ilvl w:val="0"/>
                <w:numId w:val="1"/>
              </w:numPr>
              <w:adjustRightInd w:val="0"/>
              <w:snapToGrid w:val="0"/>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一致性：≥98.0%</w:t>
            </w:r>
          </w:p>
          <w:p w14:paraId="37162609">
            <w:pPr>
              <w:spacing w:line="360" w:lineRule="auto"/>
              <w:rPr>
                <w:rFonts w:hint="eastAsia" w:ascii="仿宋" w:hAnsi="仿宋" w:eastAsia="仿宋" w:cs="仿宋"/>
                <w:b/>
                <w:bCs/>
                <w:color w:val="auto"/>
                <w:sz w:val="24"/>
                <w:szCs w:val="28"/>
              </w:rPr>
            </w:pPr>
            <w:bookmarkStart w:id="0" w:name="OLE_LINK5"/>
            <w:r>
              <w:rPr>
                <w:rFonts w:hint="eastAsia" w:ascii="仿宋" w:hAnsi="仿宋" w:eastAsia="仿宋" w:cs="仿宋"/>
                <w:b/>
                <w:bCs/>
                <w:color w:val="auto"/>
                <w:sz w:val="24"/>
                <w:szCs w:val="28"/>
              </w:rPr>
              <w:t>注：①仪器经环境监测仪器检测机构按《化学需氧量水质在线自动(CODcr)监测仪技术要求及检测方法（HJ 377-2019）》适用性检测合格，进入国家适用性检测合格名录，检测结果满足上述要求。</w:t>
            </w:r>
          </w:p>
          <w:p w14:paraId="29A604C5">
            <w:pPr>
              <w:spacing w:line="360" w:lineRule="auto"/>
              <w:rPr>
                <w:rFonts w:hint="eastAsia" w:ascii="仿宋" w:hAnsi="仿宋" w:eastAsia="仿宋" w:cs="仿宋"/>
                <w:b/>
                <w:bCs/>
                <w:color w:val="auto"/>
                <w:sz w:val="24"/>
                <w:szCs w:val="28"/>
              </w:rPr>
            </w:pPr>
            <w:r>
              <w:rPr>
                <w:rFonts w:hint="eastAsia" w:ascii="仿宋" w:hAnsi="仿宋" w:eastAsia="仿宋" w:cs="仿宋"/>
                <w:b/>
                <w:bCs/>
                <w:color w:val="auto"/>
                <w:sz w:val="24"/>
                <w:szCs w:val="28"/>
              </w:rPr>
              <w:t>注：提供具有环境监测仪器适用性检测能力的检测机构出具的检测报告（CMA）复印件予以佐证。</w:t>
            </w:r>
          </w:p>
          <w:p w14:paraId="158CE49F">
            <w:pPr>
              <w:spacing w:line="360" w:lineRule="auto"/>
              <w:rPr>
                <w:rFonts w:hint="eastAsia" w:ascii="仿宋" w:hAnsi="仿宋" w:eastAsia="仿宋" w:cs="仿宋"/>
                <w:b/>
                <w:bCs/>
                <w:color w:val="auto"/>
                <w:sz w:val="24"/>
                <w:szCs w:val="28"/>
              </w:rPr>
            </w:pPr>
            <w:r>
              <w:rPr>
                <w:rFonts w:hint="eastAsia" w:ascii="仿宋" w:hAnsi="仿宋" w:eastAsia="仿宋" w:cs="仿宋"/>
                <w:color w:val="auto"/>
                <w:sz w:val="28"/>
                <w:szCs w:val="28"/>
              </w:rPr>
              <w:t>所提供设备需具有CCEP</w:t>
            </w:r>
            <w:r>
              <w:rPr>
                <w:rFonts w:hint="eastAsia" w:ascii="仿宋" w:hAnsi="仿宋" w:eastAsia="仿宋" w:cs="仿宋"/>
                <w:color w:val="auto"/>
                <w:sz w:val="28"/>
                <w:szCs w:val="28"/>
                <w:lang w:val="en-US" w:eastAsia="zh-CN"/>
              </w:rPr>
              <w:t>环境</w:t>
            </w:r>
            <w:r>
              <w:rPr>
                <w:rFonts w:hint="eastAsia" w:ascii="仿宋" w:hAnsi="仿宋" w:eastAsia="仿宋" w:cs="仿宋"/>
                <w:color w:val="auto"/>
                <w:sz w:val="28"/>
                <w:szCs w:val="28"/>
              </w:rPr>
              <w:t>保</w:t>
            </w:r>
            <w:r>
              <w:rPr>
                <w:rFonts w:hint="eastAsia" w:ascii="仿宋" w:hAnsi="仿宋" w:eastAsia="仿宋" w:cs="仿宋"/>
                <w:color w:val="auto"/>
                <w:sz w:val="28"/>
                <w:szCs w:val="28"/>
                <w:lang w:val="en-US" w:eastAsia="zh-CN"/>
              </w:rPr>
              <w:t>护产品</w:t>
            </w:r>
            <w:r>
              <w:rPr>
                <w:rFonts w:hint="eastAsia" w:ascii="仿宋" w:hAnsi="仿宋" w:eastAsia="仿宋" w:cs="仿宋"/>
                <w:color w:val="auto"/>
                <w:sz w:val="28"/>
                <w:szCs w:val="28"/>
              </w:rPr>
              <w:t>认证证书。</w:t>
            </w:r>
          </w:p>
          <w:p w14:paraId="531EED58">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8"/>
              </w:rPr>
              <w:t>投标人对所提供的检测报告的真实性、有效性负责（提供承诺函）</w:t>
            </w:r>
            <w:bookmarkEnd w:id="0"/>
          </w:p>
        </w:tc>
      </w:tr>
      <w:tr w14:paraId="52A9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Borders>
              <w:top w:val="single" w:color="auto" w:sz="4" w:space="0"/>
              <w:left w:val="single" w:color="auto" w:sz="4" w:space="0"/>
              <w:bottom w:val="single" w:color="auto" w:sz="4" w:space="0"/>
            </w:tcBorders>
          </w:tcPr>
          <w:p w14:paraId="2917A336">
            <w:pPr>
              <w:pStyle w:val="9"/>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2</w:t>
            </w:r>
          </w:p>
        </w:tc>
        <w:tc>
          <w:tcPr>
            <w:tcW w:w="1350" w:type="dxa"/>
            <w:tcBorders>
              <w:top w:val="single" w:color="auto" w:sz="4" w:space="0"/>
              <w:bottom w:val="single" w:color="auto" w:sz="4" w:space="0"/>
              <w:right w:val="single" w:color="auto" w:sz="4" w:space="0"/>
            </w:tcBorders>
          </w:tcPr>
          <w:p w14:paraId="33C4BCF7">
            <w:pPr>
              <w:pStyle w:val="9"/>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氨氮水质在线自动监测仪</w:t>
            </w:r>
          </w:p>
        </w:tc>
        <w:tc>
          <w:tcPr>
            <w:tcW w:w="7037" w:type="dxa"/>
            <w:tcBorders>
              <w:left w:val="single" w:color="auto" w:sz="4" w:space="0"/>
            </w:tcBorders>
          </w:tcPr>
          <w:p w14:paraId="053B1963">
            <w:pPr>
              <w:pStyle w:val="26"/>
              <w:numPr>
                <w:ilvl w:val="0"/>
                <w:numId w:val="2"/>
              </w:numPr>
              <w:spacing w:line="360" w:lineRule="auto"/>
              <w:ind w:firstLineChars="0"/>
              <w:rPr>
                <w:rFonts w:hint="eastAsia" w:ascii="仿宋" w:hAnsi="仿宋" w:eastAsia="仿宋" w:cs="仿宋"/>
                <w:color w:val="auto"/>
                <w:sz w:val="24"/>
                <w:szCs w:val="24"/>
              </w:rPr>
            </w:pPr>
            <w:bookmarkStart w:id="1" w:name="_Hlk199510434"/>
            <w:r>
              <w:rPr>
                <w:rFonts w:hint="eastAsia" w:ascii="仿宋" w:hAnsi="仿宋" w:eastAsia="仿宋" w:cs="仿宋"/>
                <w:color w:val="auto"/>
                <w:sz w:val="24"/>
                <w:szCs w:val="24"/>
              </w:rPr>
              <w:t>测量方法：水杨酸分光光度法</w:t>
            </w:r>
          </w:p>
          <w:p w14:paraId="23F13459">
            <w:pPr>
              <w:pStyle w:val="26"/>
              <w:numPr>
                <w:ilvl w:val="0"/>
                <w:numId w:val="2"/>
              </w:numPr>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量程：0-10，可扩展</w:t>
            </w:r>
          </w:p>
          <w:p w14:paraId="25F1A102">
            <w:pPr>
              <w:pStyle w:val="26"/>
              <w:numPr>
                <w:ilvl w:val="0"/>
                <w:numId w:val="2"/>
              </w:numPr>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★重复性：≤0.5%</w:t>
            </w:r>
          </w:p>
          <w:p w14:paraId="7DEEF4C7">
            <w:pPr>
              <w:pStyle w:val="26"/>
              <w:numPr>
                <w:ilvl w:val="0"/>
                <w:numId w:val="2"/>
              </w:numPr>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★24h低浓度漂移：≤0.005mg/L</w:t>
            </w:r>
          </w:p>
          <w:p w14:paraId="7526041A">
            <w:pPr>
              <w:pStyle w:val="26"/>
              <w:numPr>
                <w:ilvl w:val="0"/>
                <w:numId w:val="2"/>
              </w:numPr>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★24h高浓度漂移：≤0.5%</w:t>
            </w:r>
          </w:p>
          <w:p w14:paraId="633A3ADA">
            <w:pPr>
              <w:pStyle w:val="26"/>
              <w:numPr>
                <w:ilvl w:val="0"/>
                <w:numId w:val="2"/>
              </w:numPr>
              <w:spacing w:line="360" w:lineRule="auto"/>
              <w:ind w:firstLineChars="0"/>
              <w:rPr>
                <w:rFonts w:hint="eastAsia" w:ascii="仿宋" w:hAnsi="仿宋" w:eastAsia="仿宋" w:cs="仿宋"/>
                <w:color w:val="auto"/>
                <w:sz w:val="24"/>
                <w:szCs w:val="24"/>
              </w:rPr>
            </w:pPr>
            <w:bookmarkStart w:id="2" w:name="OLE_LINK9"/>
            <w:r>
              <w:rPr>
                <w:rFonts w:hint="eastAsia" w:ascii="仿宋" w:hAnsi="仿宋" w:eastAsia="仿宋" w:cs="仿宋"/>
                <w:color w:val="auto"/>
                <w:sz w:val="24"/>
                <w:szCs w:val="24"/>
              </w:rPr>
              <w:t>★</w:t>
            </w:r>
            <w:bookmarkEnd w:id="2"/>
            <w:r>
              <w:rPr>
                <w:rFonts w:hint="eastAsia" w:ascii="仿宋" w:hAnsi="仿宋" w:eastAsia="仿宋" w:cs="仿宋"/>
                <w:color w:val="auto"/>
                <w:sz w:val="24"/>
                <w:szCs w:val="24"/>
              </w:rPr>
              <w:t>示值误差（测试溶液浓度相对于检测范围的20%）：±2.5%，（测试溶液浓度相对于检测范围的50%）：±1.0%，（测试溶液浓度相对于检测范围的80%）：±1.5%</w:t>
            </w:r>
          </w:p>
          <w:p w14:paraId="4079104C">
            <w:pPr>
              <w:pStyle w:val="26"/>
              <w:numPr>
                <w:ilvl w:val="0"/>
                <w:numId w:val="2"/>
              </w:numPr>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★定量下限：≤0.05mg/L</w:t>
            </w:r>
          </w:p>
          <w:p w14:paraId="7610A08C">
            <w:pPr>
              <w:pStyle w:val="26"/>
              <w:numPr>
                <w:ilvl w:val="0"/>
                <w:numId w:val="2"/>
              </w:numPr>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记忆效应（测试溶液浓度相对于检测范围的百分比80%→20%）：±0.05mg/L，（测试溶液浓度相对于检测范围的百分比20%→80%）：±0.1mg/L</w:t>
            </w:r>
          </w:p>
          <w:p w14:paraId="6F345DD1">
            <w:pPr>
              <w:pStyle w:val="26"/>
              <w:numPr>
                <w:ilvl w:val="0"/>
                <w:numId w:val="2"/>
              </w:numPr>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电压影响：±1.0%</w:t>
            </w:r>
          </w:p>
          <w:p w14:paraId="04C14B31">
            <w:pPr>
              <w:pStyle w:val="26"/>
              <w:numPr>
                <w:ilvl w:val="0"/>
                <w:numId w:val="2"/>
              </w:numPr>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PH影响：±1.5%</w:t>
            </w:r>
          </w:p>
          <w:p w14:paraId="4D3E8A72">
            <w:pPr>
              <w:pStyle w:val="26"/>
              <w:numPr>
                <w:ilvl w:val="0"/>
                <w:numId w:val="2"/>
              </w:numPr>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环境温度影响：±1.0%</w:t>
            </w:r>
          </w:p>
          <w:p w14:paraId="0E0E0638">
            <w:pPr>
              <w:pStyle w:val="26"/>
              <w:numPr>
                <w:ilvl w:val="0"/>
                <w:numId w:val="2"/>
              </w:numPr>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最小维护周期：≥168h</w:t>
            </w:r>
          </w:p>
          <w:p w14:paraId="51618CF9">
            <w:pPr>
              <w:pStyle w:val="26"/>
              <w:numPr>
                <w:ilvl w:val="0"/>
                <w:numId w:val="2"/>
              </w:numPr>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数据有效率：≥95.0%</w:t>
            </w:r>
          </w:p>
          <w:p w14:paraId="6C17DA22">
            <w:pPr>
              <w:pStyle w:val="26"/>
              <w:numPr>
                <w:ilvl w:val="0"/>
                <w:numId w:val="2"/>
              </w:numPr>
              <w:spacing w:line="36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rPr>
              <w:t>一致性：≥98.0%</w:t>
            </w:r>
          </w:p>
          <w:bookmarkEnd w:id="1"/>
          <w:p w14:paraId="2239E42D">
            <w:pPr>
              <w:spacing w:line="360" w:lineRule="auto"/>
              <w:rPr>
                <w:rFonts w:hint="eastAsia" w:ascii="仿宋" w:hAnsi="仿宋" w:eastAsia="仿宋" w:cs="仿宋"/>
                <w:b/>
                <w:bCs/>
                <w:color w:val="auto"/>
                <w:sz w:val="24"/>
                <w:szCs w:val="28"/>
              </w:rPr>
            </w:pPr>
            <w:r>
              <w:rPr>
                <w:rFonts w:hint="eastAsia" w:ascii="仿宋" w:hAnsi="仿宋" w:eastAsia="仿宋" w:cs="仿宋"/>
                <w:b/>
                <w:bCs/>
                <w:color w:val="auto"/>
                <w:sz w:val="24"/>
                <w:szCs w:val="28"/>
              </w:rPr>
              <w:t>注：①仪器经环境监测仪器检测机构按《氨氮水质在线自动监测仪技术要求及检测方法（HJ 101-2019）》适用性检测合格，进入国家适用性检测合格名录，检测结果满足上述要求。</w:t>
            </w:r>
          </w:p>
          <w:p w14:paraId="31F15371">
            <w:pPr>
              <w:spacing w:line="360" w:lineRule="auto"/>
              <w:rPr>
                <w:rFonts w:hint="eastAsia" w:ascii="仿宋" w:hAnsi="仿宋" w:eastAsia="仿宋" w:cs="仿宋"/>
                <w:b/>
                <w:bCs/>
                <w:color w:val="auto"/>
                <w:sz w:val="24"/>
                <w:szCs w:val="28"/>
              </w:rPr>
            </w:pPr>
            <w:r>
              <w:rPr>
                <w:rFonts w:hint="eastAsia" w:ascii="仿宋" w:hAnsi="仿宋" w:eastAsia="仿宋" w:cs="仿宋"/>
                <w:b/>
                <w:bCs/>
                <w:color w:val="auto"/>
                <w:sz w:val="24"/>
                <w:szCs w:val="28"/>
              </w:rPr>
              <w:t>注：提供具有环境监测仪器适用性检测能力的检测机构出具的检测报告（CMA）复印件予以佐证。</w:t>
            </w:r>
          </w:p>
          <w:p w14:paraId="2AE4099E">
            <w:pPr>
              <w:spacing w:line="360" w:lineRule="auto"/>
              <w:rPr>
                <w:rFonts w:hint="eastAsia" w:ascii="仿宋" w:hAnsi="仿宋" w:eastAsia="仿宋" w:cs="仿宋"/>
                <w:b/>
                <w:bCs/>
                <w:color w:val="auto"/>
                <w:sz w:val="24"/>
                <w:szCs w:val="28"/>
              </w:rPr>
            </w:pPr>
            <w:r>
              <w:rPr>
                <w:rFonts w:hint="eastAsia" w:ascii="仿宋" w:hAnsi="仿宋" w:eastAsia="仿宋" w:cs="仿宋"/>
                <w:color w:val="auto"/>
                <w:sz w:val="28"/>
                <w:szCs w:val="28"/>
              </w:rPr>
              <w:t>所提供设备需具有CCEP</w:t>
            </w:r>
            <w:r>
              <w:rPr>
                <w:rFonts w:hint="eastAsia" w:ascii="仿宋" w:hAnsi="仿宋" w:eastAsia="仿宋" w:cs="仿宋"/>
                <w:color w:val="auto"/>
                <w:sz w:val="28"/>
                <w:szCs w:val="28"/>
                <w:lang w:val="en-US" w:eastAsia="zh-CN"/>
              </w:rPr>
              <w:t>环境</w:t>
            </w:r>
            <w:r>
              <w:rPr>
                <w:rFonts w:hint="eastAsia" w:ascii="仿宋" w:hAnsi="仿宋" w:eastAsia="仿宋" w:cs="仿宋"/>
                <w:color w:val="auto"/>
                <w:sz w:val="28"/>
                <w:szCs w:val="28"/>
              </w:rPr>
              <w:t>保</w:t>
            </w:r>
            <w:r>
              <w:rPr>
                <w:rFonts w:hint="eastAsia" w:ascii="仿宋" w:hAnsi="仿宋" w:eastAsia="仿宋" w:cs="仿宋"/>
                <w:color w:val="auto"/>
                <w:sz w:val="28"/>
                <w:szCs w:val="28"/>
                <w:lang w:val="en-US" w:eastAsia="zh-CN"/>
              </w:rPr>
              <w:t>护产品</w:t>
            </w:r>
            <w:r>
              <w:rPr>
                <w:rFonts w:hint="eastAsia" w:ascii="仿宋" w:hAnsi="仿宋" w:eastAsia="仿宋" w:cs="仿宋"/>
                <w:color w:val="auto"/>
                <w:sz w:val="28"/>
                <w:szCs w:val="28"/>
              </w:rPr>
              <w:t>认证证书。</w:t>
            </w:r>
          </w:p>
          <w:p w14:paraId="6D1B9D94">
            <w:pPr>
              <w:spacing w:line="360" w:lineRule="auto"/>
              <w:rPr>
                <w:rFonts w:hint="eastAsia" w:ascii="仿宋" w:hAnsi="仿宋" w:eastAsia="仿宋" w:cs="仿宋"/>
                <w:b/>
                <w:bCs/>
                <w:color w:val="auto"/>
                <w:sz w:val="24"/>
                <w:szCs w:val="28"/>
              </w:rPr>
            </w:pPr>
          </w:p>
          <w:p w14:paraId="00E5D506">
            <w:pPr>
              <w:spacing w:line="360" w:lineRule="auto"/>
              <w:rPr>
                <w:rFonts w:hint="eastAsia" w:ascii="仿宋" w:hAnsi="仿宋" w:eastAsia="仿宋" w:cs="仿宋"/>
                <w:b/>
                <w:bCs/>
                <w:color w:val="auto"/>
                <w:sz w:val="24"/>
                <w:szCs w:val="28"/>
                <w:lang w:bidi="ar"/>
              </w:rPr>
            </w:pPr>
            <w:r>
              <w:rPr>
                <w:rFonts w:hint="eastAsia" w:ascii="仿宋" w:hAnsi="仿宋" w:eastAsia="仿宋" w:cs="仿宋"/>
                <w:b/>
                <w:bCs/>
                <w:color w:val="auto"/>
                <w:sz w:val="24"/>
                <w:szCs w:val="28"/>
              </w:rPr>
              <w:t>投标人对所提供的检测报告的真实性、有效性负责（提供承诺函）</w:t>
            </w:r>
          </w:p>
          <w:p w14:paraId="43711E8B">
            <w:pPr>
              <w:spacing w:line="360" w:lineRule="auto"/>
              <w:rPr>
                <w:rFonts w:hint="eastAsia" w:ascii="仿宋" w:hAnsi="仿宋" w:eastAsia="仿宋" w:cs="仿宋"/>
                <w:b/>
                <w:bCs/>
                <w:color w:val="auto"/>
                <w:sz w:val="24"/>
                <w:szCs w:val="28"/>
              </w:rPr>
            </w:pPr>
            <w:r>
              <w:rPr>
                <w:rFonts w:hint="eastAsia" w:ascii="仿宋" w:hAnsi="仿宋" w:eastAsia="仿宋" w:cs="仿宋"/>
                <w:b/>
                <w:bCs/>
                <w:color w:val="auto"/>
                <w:sz w:val="24"/>
                <w:szCs w:val="28"/>
                <w:lang w:bidi="ar"/>
              </w:rPr>
              <w:t>②</w:t>
            </w:r>
            <w:r>
              <w:rPr>
                <w:rFonts w:hint="eastAsia" w:ascii="仿宋" w:hAnsi="仿宋" w:eastAsia="仿宋" w:cs="仿宋"/>
                <w:b/>
                <w:bCs/>
                <w:color w:val="auto"/>
                <w:sz w:val="24"/>
                <w:szCs w:val="28"/>
              </w:rPr>
              <w:t>所提供设备</w:t>
            </w:r>
            <w:r>
              <w:rPr>
                <w:rFonts w:hint="eastAsia" w:ascii="仿宋" w:hAnsi="仿宋" w:eastAsia="仿宋" w:cs="仿宋"/>
                <w:b/>
                <w:bCs/>
                <w:color w:val="auto"/>
                <w:sz w:val="24"/>
                <w:szCs w:val="28"/>
                <w:lang w:val="en-US" w:eastAsia="zh-CN"/>
              </w:rPr>
              <w:t>必须</w:t>
            </w:r>
            <w:r>
              <w:rPr>
                <w:rFonts w:hint="eastAsia" w:ascii="仿宋" w:hAnsi="仿宋" w:eastAsia="仿宋" w:cs="仿宋"/>
                <w:b/>
                <w:bCs/>
                <w:color w:val="auto"/>
                <w:sz w:val="24"/>
                <w:szCs w:val="28"/>
              </w:rPr>
              <w:t>满足以下技术规范</w:t>
            </w:r>
            <w:r>
              <w:rPr>
                <w:rFonts w:hint="eastAsia" w:ascii="仿宋" w:hAnsi="仿宋" w:eastAsia="仿宋" w:cs="仿宋"/>
                <w:b/>
                <w:bCs/>
                <w:color w:val="auto"/>
                <w:sz w:val="24"/>
                <w:szCs w:val="28"/>
                <w:lang w:val="en-US" w:eastAsia="zh-CN"/>
              </w:rPr>
              <w:t>要求</w:t>
            </w:r>
            <w:r>
              <w:rPr>
                <w:rFonts w:hint="eastAsia" w:ascii="仿宋" w:hAnsi="仿宋" w:eastAsia="仿宋" w:cs="仿宋"/>
                <w:b/>
                <w:bCs/>
                <w:color w:val="auto"/>
                <w:sz w:val="24"/>
                <w:szCs w:val="28"/>
              </w:rPr>
              <w:t>：</w:t>
            </w:r>
          </w:p>
          <w:p w14:paraId="0C07E2FD">
            <w:pPr>
              <w:pStyle w:val="10"/>
              <w:spacing w:line="360" w:lineRule="auto"/>
              <w:ind w:left="0" w:leftChars="0"/>
              <w:rPr>
                <w:rFonts w:hint="eastAsia" w:ascii="仿宋" w:hAnsi="仿宋" w:eastAsia="仿宋" w:cs="仿宋"/>
                <w:b/>
                <w:bCs/>
                <w:color w:val="auto"/>
                <w:sz w:val="24"/>
                <w:szCs w:val="24"/>
              </w:rPr>
            </w:pPr>
            <w:r>
              <w:rPr>
                <w:rFonts w:hint="eastAsia" w:ascii="仿宋" w:hAnsi="仿宋" w:eastAsia="仿宋" w:cs="仿宋"/>
                <w:b/>
                <w:bCs/>
                <w:color w:val="auto"/>
                <w:sz w:val="24"/>
                <w:szCs w:val="24"/>
              </w:rPr>
              <w:t>《水污染源在线监测系统(CODcr、NH3-N、等)安装技术规范HJ353-2019》</w:t>
            </w:r>
          </w:p>
          <w:p w14:paraId="626200DC">
            <w:pPr>
              <w:pStyle w:val="10"/>
              <w:spacing w:line="360" w:lineRule="auto"/>
              <w:ind w:left="0" w:leftChars="0"/>
              <w:rPr>
                <w:rFonts w:hint="eastAsia" w:ascii="仿宋" w:hAnsi="仿宋" w:eastAsia="仿宋" w:cs="仿宋"/>
                <w:b/>
                <w:bCs/>
                <w:color w:val="auto"/>
                <w:sz w:val="24"/>
                <w:szCs w:val="24"/>
              </w:rPr>
            </w:pPr>
            <w:r>
              <w:rPr>
                <w:rFonts w:hint="eastAsia" w:ascii="仿宋" w:hAnsi="仿宋" w:eastAsia="仿宋" w:cs="仿宋"/>
                <w:b/>
                <w:bCs/>
                <w:color w:val="auto"/>
                <w:sz w:val="24"/>
                <w:szCs w:val="24"/>
              </w:rPr>
              <w:t>《水污染源在线监测系统（CODCr、NH3-N等）验收技术规范HJ 354-2019》</w:t>
            </w:r>
          </w:p>
          <w:p w14:paraId="057DEB50">
            <w:pPr>
              <w:pStyle w:val="11"/>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《氨氮水质在线自动监测仪技术要求及检测方法HJ 101-2019》</w:t>
            </w:r>
          </w:p>
          <w:p w14:paraId="1F7AEB73">
            <w:pPr>
              <w:pStyle w:val="12"/>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《关于2020年全省重点排污单位自动监控建设有关事项的通知：川环办函〔2020〕147号》</w:t>
            </w:r>
          </w:p>
          <w:p w14:paraId="75FD231B">
            <w:pPr>
              <w:pStyle w:val="12"/>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《四川省生态环境厅办公室关于推进2021年固定污染源自动监控建设应用的通知：川环办函〔2021〕145号》</w:t>
            </w:r>
          </w:p>
          <w:p w14:paraId="21B97409">
            <w:pPr>
              <w:pStyle w:val="12"/>
              <w:spacing w:line="360" w:lineRule="auto"/>
              <w:rPr>
                <w:rFonts w:hint="eastAsia" w:ascii="仿宋" w:hAnsi="仿宋" w:eastAsia="仿宋" w:cs="仿宋"/>
                <w:color w:val="auto"/>
                <w:sz w:val="24"/>
                <w:szCs w:val="24"/>
              </w:rPr>
            </w:pPr>
            <w:r>
              <w:rPr>
                <w:rFonts w:hint="eastAsia" w:ascii="仿宋" w:hAnsi="仿宋" w:eastAsia="仿宋" w:cs="仿宋"/>
                <w:b/>
                <w:bCs/>
                <w:color w:val="auto"/>
                <w:sz w:val="24"/>
                <w:szCs w:val="24"/>
              </w:rPr>
              <w:t>《关于加强重点单位污染物自动监控管理的通知：川环办函〔2022〕180号》</w:t>
            </w:r>
          </w:p>
        </w:tc>
      </w:tr>
      <w:tr w14:paraId="3316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Borders>
              <w:top w:val="single" w:color="auto" w:sz="4" w:space="0"/>
              <w:bottom w:val="single" w:color="auto" w:sz="4" w:space="0"/>
            </w:tcBorders>
          </w:tcPr>
          <w:p w14:paraId="48084981">
            <w:pPr>
              <w:pStyle w:val="9"/>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3</w:t>
            </w:r>
          </w:p>
        </w:tc>
        <w:tc>
          <w:tcPr>
            <w:tcW w:w="1350" w:type="dxa"/>
            <w:tcBorders>
              <w:top w:val="single" w:color="auto" w:sz="4" w:space="0"/>
              <w:bottom w:val="single" w:color="auto" w:sz="4" w:space="0"/>
            </w:tcBorders>
          </w:tcPr>
          <w:p w14:paraId="0513EBFD">
            <w:pPr>
              <w:pStyle w:val="9"/>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 数据采集传输仪</w:t>
            </w:r>
          </w:p>
        </w:tc>
        <w:tc>
          <w:tcPr>
            <w:tcW w:w="7037" w:type="dxa"/>
          </w:tcPr>
          <w:p w14:paraId="3B297BB7">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1、数据采集误差</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0.2‰</w:t>
            </w:r>
          </w:p>
          <w:p w14:paraId="32DDE771">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2、系统时钟计时误差：0.02‰</w:t>
            </w:r>
          </w:p>
          <w:p w14:paraId="338C2333">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3、存储容量：&gt;14400条</w:t>
            </w:r>
          </w:p>
          <w:p w14:paraId="37446066">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4、MTBF：&gt;1440 h</w:t>
            </w:r>
          </w:p>
          <w:p w14:paraId="377E9079">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提供</w:t>
            </w:r>
            <w:r>
              <w:rPr>
                <w:rFonts w:hint="eastAsia" w:ascii="仿宋" w:hAnsi="仿宋" w:eastAsia="仿宋" w:cs="仿宋"/>
                <w:color w:val="auto"/>
                <w:sz w:val="24"/>
                <w:szCs w:val="24"/>
              </w:rPr>
              <w:t>中国环境监测总站的仪器适用性检测</w:t>
            </w:r>
            <w:bookmarkStart w:id="3" w:name="OLE_LINK8"/>
            <w:r>
              <w:rPr>
                <w:rFonts w:hint="eastAsia" w:ascii="仿宋" w:hAnsi="仿宋" w:eastAsia="仿宋" w:cs="仿宋"/>
                <w:color w:val="auto"/>
                <w:sz w:val="24"/>
                <w:szCs w:val="24"/>
                <w:lang w:val="en-US" w:eastAsia="zh-CN"/>
              </w:rPr>
              <w:t>报告及CCEP</w:t>
            </w:r>
            <w:r>
              <w:rPr>
                <w:rFonts w:hint="eastAsia" w:ascii="仿宋" w:hAnsi="仿宋" w:eastAsia="仿宋" w:cs="仿宋"/>
                <w:color w:val="auto"/>
                <w:sz w:val="24"/>
                <w:szCs w:val="24"/>
              </w:rPr>
              <w:t>环境保护产品认证</w:t>
            </w:r>
            <w:bookmarkEnd w:id="3"/>
            <w:r>
              <w:rPr>
                <w:rFonts w:hint="eastAsia" w:ascii="仿宋" w:hAnsi="仿宋" w:eastAsia="仿宋" w:cs="仿宋"/>
                <w:color w:val="auto"/>
                <w:sz w:val="24"/>
                <w:szCs w:val="24"/>
                <w:lang w:val="en-US" w:eastAsia="zh-CN"/>
              </w:rPr>
              <w:t>证书。</w:t>
            </w:r>
          </w:p>
          <w:p w14:paraId="051FF68C">
            <w:pPr>
              <w:spacing w:line="360" w:lineRule="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投标人对所提供佐证资料的真实性、有效性负责。（提供承诺函）</w:t>
            </w:r>
          </w:p>
        </w:tc>
      </w:tr>
      <w:tr w14:paraId="6CD9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Borders>
              <w:top w:val="single" w:color="auto" w:sz="4" w:space="0"/>
              <w:bottom w:val="single" w:color="auto" w:sz="4" w:space="0"/>
            </w:tcBorders>
          </w:tcPr>
          <w:p w14:paraId="77F5D2F9">
            <w:pPr>
              <w:pStyle w:val="9"/>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4</w:t>
            </w:r>
          </w:p>
        </w:tc>
        <w:tc>
          <w:tcPr>
            <w:tcW w:w="1350" w:type="dxa"/>
            <w:tcBorders>
              <w:top w:val="single" w:color="auto" w:sz="4" w:space="0"/>
              <w:bottom w:val="single" w:color="auto" w:sz="4" w:space="0"/>
            </w:tcBorders>
          </w:tcPr>
          <w:p w14:paraId="4DD99585">
            <w:pPr>
              <w:pStyle w:val="9"/>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在线PH计</w:t>
            </w:r>
          </w:p>
        </w:tc>
        <w:tc>
          <w:tcPr>
            <w:tcW w:w="7037" w:type="dxa"/>
          </w:tcPr>
          <w:p w14:paraId="6E441A9F">
            <w:pPr>
              <w:keepNext w:val="0"/>
              <w:keepLines w:val="0"/>
              <w:pageBreakBefore w:val="0"/>
              <w:widowControl w:val="0"/>
              <w:tabs>
                <w:tab w:val="center" w:pos="644"/>
              </w:tabs>
              <w:kinsoku/>
              <w:wordWrap/>
              <w:overflowPunct/>
              <w:topLinePunct w:val="0"/>
              <w:autoSpaceDE/>
              <w:autoSpaceDN/>
              <w:bidi w:val="0"/>
              <w:adjustRightInd/>
              <w:snapToGrid/>
              <w:spacing w:line="240" w:lineRule="auto"/>
              <w:ind w:firstLine="0" w:firstLineChars="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vertAlign w:val="baseline"/>
                <w:lang w:val="en-US" w:eastAsia="zh-CN"/>
              </w:rPr>
              <w:t>测量范围：</w:t>
            </w:r>
            <w:r>
              <w:rPr>
                <w:rFonts w:hint="eastAsia" w:ascii="仿宋" w:hAnsi="仿宋" w:eastAsia="仿宋" w:cs="仿宋"/>
                <w:color w:val="auto"/>
                <w:sz w:val="24"/>
                <w:szCs w:val="24"/>
              </w:rPr>
              <w:t>pH：</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0.00 ~ 14.00</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pH</w:t>
            </w:r>
          </w:p>
          <w:p w14:paraId="14DF145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2、分辨率：pH：</w:t>
            </w:r>
            <w:r>
              <w:rPr>
                <w:rFonts w:hint="eastAsia" w:ascii="仿宋" w:hAnsi="仿宋" w:eastAsia="仿宋" w:cs="仿宋"/>
                <w:color w:val="auto"/>
                <w:sz w:val="24"/>
                <w:szCs w:val="24"/>
              </w:rPr>
              <w:t>0.01pH</w:t>
            </w:r>
          </w:p>
          <w:p w14:paraId="4569989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3、准确度：</w:t>
            </w:r>
            <w:r>
              <w:rPr>
                <w:rFonts w:hint="eastAsia" w:ascii="仿宋" w:hAnsi="仿宋" w:eastAsia="仿宋" w:cs="仿宋"/>
                <w:color w:val="auto"/>
                <w:sz w:val="24"/>
                <w:szCs w:val="24"/>
              </w:rPr>
              <w:t>pH：±0.02pH</w:t>
            </w:r>
          </w:p>
          <w:p w14:paraId="627484A4">
            <w:pPr>
              <w:spacing w:line="240"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4、重复性：</w:t>
            </w:r>
            <w:r>
              <w:rPr>
                <w:rFonts w:hint="eastAsia" w:ascii="仿宋" w:hAnsi="仿宋" w:eastAsia="仿宋" w:cs="仿宋"/>
                <w:color w:val="auto"/>
                <w:sz w:val="24"/>
                <w:szCs w:val="24"/>
              </w:rPr>
              <w:t>0.02pH</w:t>
            </w:r>
          </w:p>
          <w:p w14:paraId="38135161">
            <w:pPr>
              <w:spacing w:line="24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提供制造商盖章的说明书或其他证明文件。</w:t>
            </w:r>
          </w:p>
          <w:p w14:paraId="1E11E424">
            <w:pPr>
              <w:spacing w:line="240" w:lineRule="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投标人对所提供佐证资料的真实性、有效性负责。（提供承诺函）</w:t>
            </w:r>
          </w:p>
        </w:tc>
      </w:tr>
    </w:tbl>
    <w:p w14:paraId="21D8D43A">
      <w:pPr>
        <w:pStyle w:val="2"/>
        <w:spacing w:before="0" w:after="0" w:line="240" w:lineRule="auto"/>
        <w:rPr>
          <w:rFonts w:hint="eastAsia" w:ascii="仿宋" w:hAnsi="仿宋" w:eastAsia="仿宋" w:cs="仿宋"/>
          <w:bCs/>
          <w:color w:val="auto"/>
          <w:kern w:val="2"/>
          <w:sz w:val="28"/>
          <w:szCs w:val="28"/>
        </w:rPr>
      </w:pPr>
      <w:r>
        <w:rPr>
          <w:rFonts w:hint="eastAsia" w:ascii="仿宋" w:hAnsi="仿宋" w:eastAsia="仿宋" w:cs="仿宋"/>
          <w:bCs/>
          <w:color w:val="auto"/>
          <w:kern w:val="2"/>
          <w:sz w:val="28"/>
          <w:szCs w:val="28"/>
        </w:rPr>
        <w:t>四、商务要求及其他要求（实质性要求）</w:t>
      </w:r>
    </w:p>
    <w:p w14:paraId="5B73A318">
      <w:pPr>
        <w:spacing w:line="360" w:lineRule="auto"/>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（一）商务要求</w:t>
      </w:r>
    </w:p>
    <w:p w14:paraId="45AD51FA">
      <w:pPr>
        <w:spacing w:line="360" w:lineRule="auto"/>
        <w:jc w:val="left"/>
        <w:rPr>
          <w:rFonts w:hint="eastAsia" w:ascii="仿宋" w:hAnsi="仿宋" w:eastAsia="仿宋" w:cs="仿宋"/>
          <w:color w:val="auto"/>
          <w:sz w:val="28"/>
          <w:szCs w:val="21"/>
        </w:rPr>
      </w:pPr>
      <w:r>
        <w:rPr>
          <w:rFonts w:hint="eastAsia" w:ascii="仿宋" w:hAnsi="仿宋" w:eastAsia="仿宋" w:cs="仿宋"/>
          <w:color w:val="auto"/>
          <w:sz w:val="28"/>
          <w:szCs w:val="28"/>
        </w:rPr>
        <w:t>1.承包方式：投标报价包括生产、运输、安装、税金、利润、管理等需在限定的货期内完成供货的所有费用，费用还包括验收合格交付使用之前成品保护服务及保修期内保修服务。</w:t>
      </w:r>
    </w:p>
    <w:p w14:paraId="06A19C1E">
      <w:pPr>
        <w:spacing w:line="36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2.交货时间：自合同签订之日起15日内。</w:t>
      </w:r>
    </w:p>
    <w:p w14:paraId="14C91090">
      <w:pPr>
        <w:spacing w:line="36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3.交货地点：合江县人民医院。</w:t>
      </w:r>
    </w:p>
    <w:p w14:paraId="3D5A25C0">
      <w:pPr>
        <w:spacing w:line="36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4.质保期：验收合格后不少于1年。</w:t>
      </w:r>
    </w:p>
    <w:p w14:paraId="690C8719">
      <w:pPr>
        <w:spacing w:line="36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5</w:t>
      </w:r>
      <w:r>
        <w:rPr>
          <w:rFonts w:hint="eastAsia" w:ascii="仿宋" w:hAnsi="仿宋" w:eastAsia="仿宋" w:cs="仿宋"/>
          <w:color w:val="auto"/>
          <w:sz w:val="28"/>
          <w:szCs w:val="28"/>
          <w:lang w:val="zh-CN"/>
        </w:rPr>
        <w:t>.付款方法和条件：设备</w:t>
      </w:r>
      <w:r>
        <w:rPr>
          <w:rFonts w:hint="eastAsia" w:ascii="仿宋" w:hAnsi="仿宋" w:eastAsia="仿宋" w:cs="仿宋"/>
          <w:color w:val="auto"/>
          <w:sz w:val="28"/>
          <w:szCs w:val="28"/>
        </w:rPr>
        <w:t>安装调试完成，经采购人核对数量及金额，供应商委托第三方检测公司出具验收比对报告，验收合格后90日内甲方支付实际完成合格设备金额的95%给乙方；质保期满后无质量问题支付剩余5%。</w:t>
      </w:r>
    </w:p>
    <w:p w14:paraId="021C8C2C">
      <w:pPr>
        <w:spacing w:line="36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6</w:t>
      </w:r>
      <w:r>
        <w:rPr>
          <w:rFonts w:hint="eastAsia" w:ascii="仿宋" w:hAnsi="仿宋" w:eastAsia="仿宋" w:cs="仿宋"/>
          <w:color w:val="auto"/>
          <w:sz w:val="28"/>
          <w:szCs w:val="28"/>
          <w:lang w:val="zh-CN"/>
        </w:rPr>
        <w:t>.安装调试要求：</w:t>
      </w:r>
      <w:r>
        <w:rPr>
          <w:rFonts w:hint="eastAsia" w:ascii="仿宋" w:hAnsi="仿宋" w:eastAsia="仿宋" w:cs="仿宋"/>
          <w:color w:val="auto"/>
          <w:sz w:val="28"/>
          <w:szCs w:val="28"/>
        </w:rPr>
        <w:t>采购人不代为中标人接收货物、存放货物，验收之前半成品保护、材料的保管、货物的存放安全由供应商自行负责。货物到货后，国家法律、法规规定使用前必须进行的检测或监测由中标人承担。</w:t>
      </w:r>
    </w:p>
    <w:p w14:paraId="722BD65B">
      <w:pPr>
        <w:spacing w:line="360" w:lineRule="auto"/>
        <w:jc w:val="left"/>
        <w:rPr>
          <w:rFonts w:hint="eastAsia" w:ascii="仿宋" w:hAnsi="仿宋" w:eastAsia="仿宋" w:cs="仿宋"/>
          <w:color w:val="auto"/>
          <w:sz w:val="28"/>
          <w:szCs w:val="28"/>
          <w:lang w:val="zh-CN"/>
        </w:rPr>
      </w:pPr>
      <w:r>
        <w:rPr>
          <w:rFonts w:hint="eastAsia" w:ascii="仿宋" w:hAnsi="仿宋" w:eastAsia="仿宋" w:cs="仿宋"/>
          <w:color w:val="auto"/>
          <w:sz w:val="28"/>
          <w:szCs w:val="28"/>
        </w:rPr>
        <w:t>7</w:t>
      </w:r>
      <w:r>
        <w:rPr>
          <w:rFonts w:hint="eastAsia" w:ascii="仿宋" w:hAnsi="仿宋" w:eastAsia="仿宋" w:cs="仿宋"/>
          <w:color w:val="auto"/>
          <w:sz w:val="28"/>
          <w:szCs w:val="28"/>
          <w:lang w:val="zh-CN"/>
        </w:rPr>
        <w:t>.验收要求：验收严格按照《财政部关于进一步加强政府采购需求和履约验收管理的指导意见》（财库〔2016〕205号）的要求组织验收。</w:t>
      </w:r>
    </w:p>
    <w:p w14:paraId="16EC2836">
      <w:pPr>
        <w:spacing w:line="360" w:lineRule="auto"/>
        <w:jc w:val="left"/>
        <w:rPr>
          <w:rFonts w:hint="eastAsia" w:ascii="仿宋" w:hAnsi="仿宋" w:eastAsia="仿宋" w:cs="仿宋"/>
          <w:b/>
          <w:bCs/>
          <w:color w:val="auto"/>
          <w:sz w:val="28"/>
          <w:szCs w:val="28"/>
          <w:lang w:val="zh-CN"/>
        </w:rPr>
      </w:pPr>
      <w:r>
        <w:rPr>
          <w:rFonts w:hint="eastAsia" w:ascii="仿宋" w:hAnsi="仿宋" w:eastAsia="仿宋" w:cs="仿宋"/>
          <w:b/>
          <w:bCs/>
          <w:color w:val="auto"/>
          <w:sz w:val="28"/>
          <w:szCs w:val="28"/>
          <w:lang w:val="zh-CN"/>
        </w:rPr>
        <w:t>（二）其他要求</w:t>
      </w:r>
    </w:p>
    <w:p w14:paraId="572F3047">
      <w:pPr>
        <w:spacing w:line="36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1.中标后，所安装设备需包含：72小时不间断性能测试并出具报告以及设备联网等相关工作（满足HJ-354-2019水污染源在线监测系统验收技术规范要求）。</w:t>
      </w:r>
    </w:p>
    <w:p w14:paraId="50903C33">
      <w:pPr>
        <w:spacing w:line="36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2.供应商委托第三方检测公司出具验收比对报告、编辑验收资料并装订成册，协助业主完成环保备案。</w:t>
      </w:r>
    </w:p>
    <w:p w14:paraId="27313BB7">
      <w:pPr>
        <w:rPr>
          <w:rFonts w:hint="eastAsia" w:ascii="仿宋" w:hAnsi="仿宋" w:eastAsia="仿宋" w:cs="仿宋"/>
          <w:b/>
          <w:bCs/>
          <w:color w:val="auto"/>
          <w:sz w:val="32"/>
          <w:szCs w:val="32"/>
        </w:rPr>
      </w:pPr>
      <w:r>
        <w:rPr>
          <w:rFonts w:hint="eastAsia" w:ascii="仿宋" w:hAnsi="仿宋" w:eastAsia="仿宋" w:cs="仿宋"/>
          <w:b/>
          <w:bCs/>
          <w:color w:val="auto"/>
          <w:sz w:val="28"/>
          <w:szCs w:val="28"/>
          <w:lang w:val="zh-CN"/>
        </w:rPr>
        <w:t>注：以上商务条款为实质性条款，均不允许负偏离，负偏离视为非实质性响应投标文件，做无效投标处理，须按招标文件要求在商务响应表中予以应答</w:t>
      </w:r>
      <w:r>
        <w:rPr>
          <w:rFonts w:hint="eastAsia" w:ascii="仿宋" w:hAnsi="仿宋" w:eastAsia="仿宋" w:cs="仿宋"/>
          <w:b/>
          <w:bCs/>
          <w:color w:val="auto"/>
          <w:sz w:val="28"/>
          <w:szCs w:val="28"/>
        </w:rPr>
        <w:t>。</w:t>
      </w:r>
    </w:p>
    <w:p w14:paraId="54D538F8">
      <w:pPr>
        <w:widowControl/>
        <w:spacing w:line="360" w:lineRule="auto"/>
        <w:textAlignment w:val="center"/>
        <w:rPr>
          <w:rFonts w:hint="eastAsia" w:ascii="仿宋" w:hAnsi="仿宋" w:eastAsia="仿宋" w:cs="仿宋"/>
          <w:b/>
          <w:bCs/>
          <w:color w:val="auto"/>
          <w:kern w:val="2"/>
          <w:sz w:val="28"/>
          <w:szCs w:val="28"/>
        </w:rPr>
      </w:pPr>
      <w:r>
        <w:rPr>
          <w:rFonts w:hint="eastAsia" w:ascii="仿宋" w:hAnsi="仿宋" w:eastAsia="仿宋" w:cs="仿宋"/>
          <w:b/>
          <w:bCs/>
          <w:color w:val="auto"/>
          <w:kern w:val="2"/>
          <w:sz w:val="28"/>
          <w:szCs w:val="28"/>
        </w:rPr>
        <w:t>五、评标办法</w:t>
      </w:r>
      <w:bookmarkStart w:id="4" w:name="_Hlt101846155"/>
      <w:bookmarkEnd w:id="4"/>
      <w:bookmarkStart w:id="5" w:name="_Toc25220"/>
      <w:bookmarkStart w:id="6" w:name="_Toc6066"/>
      <w:bookmarkStart w:id="7" w:name="_Toc52"/>
      <w:bookmarkStart w:id="8" w:name="_Toc208849007"/>
      <w:bookmarkStart w:id="9" w:name="_Toc217446097"/>
      <w:bookmarkStart w:id="10" w:name="_Toc183582280"/>
      <w:bookmarkStart w:id="11" w:name="_Toc183682415"/>
    </w:p>
    <w:bookmarkEnd w:id="5"/>
    <w:bookmarkEnd w:id="6"/>
    <w:bookmarkEnd w:id="7"/>
    <w:bookmarkEnd w:id="8"/>
    <w:bookmarkEnd w:id="9"/>
    <w:bookmarkEnd w:id="10"/>
    <w:bookmarkEnd w:id="11"/>
    <w:p w14:paraId="1CC182B8">
      <w:pPr>
        <w:spacing w:line="360" w:lineRule="auto"/>
        <w:ind w:firstLine="560" w:firstLineChars="200"/>
        <w:rPr>
          <w:rFonts w:hint="eastAsia" w:ascii="仿宋" w:hAnsi="仿宋" w:eastAsia="仿宋" w:cs="仿宋"/>
          <w:b/>
          <w:bCs/>
          <w:color w:val="auto"/>
          <w:kern w:val="2"/>
          <w:sz w:val="28"/>
          <w:szCs w:val="28"/>
        </w:rPr>
      </w:pPr>
      <w:r>
        <w:rPr>
          <w:rFonts w:hint="eastAsia" w:ascii="仿宋" w:hAnsi="仿宋" w:eastAsia="仿宋" w:cs="仿宋"/>
          <w:color w:val="auto"/>
          <w:kern w:val="2"/>
          <w:sz w:val="28"/>
          <w:szCs w:val="28"/>
        </w:rPr>
        <w:t>评标工作应遵循公平、公正、科学及择优的原则，并以相同的评标程序和标准对待所有的比选申请人。满足响应文件递交事宜，根据服务方案、报价、履约能力进行综合评定，分数最高为成交供应商。分数相同的由比选小组现场抽签决定。</w:t>
      </w:r>
    </w:p>
    <w:p w14:paraId="334851E6">
      <w:pPr>
        <w:pStyle w:val="6"/>
        <w:spacing w:after="0"/>
        <w:rPr>
          <w:color w:val="auto"/>
        </w:rPr>
      </w:pPr>
      <w:r>
        <w:rPr>
          <w:rFonts w:hint="eastAsia" w:ascii="仿宋" w:hAnsi="仿宋" w:eastAsia="仿宋" w:cs="仿宋"/>
          <w:b/>
          <w:bCs/>
          <w:color w:val="auto"/>
          <w:kern w:val="2"/>
          <w:sz w:val="28"/>
          <w:szCs w:val="28"/>
        </w:rPr>
        <w:t>评分标准</w:t>
      </w:r>
    </w:p>
    <w:tbl>
      <w:tblPr>
        <w:tblStyle w:val="15"/>
        <w:tblpPr w:leftFromText="180" w:rightFromText="180" w:vertAnchor="text" w:horzAnchor="page" w:tblpX="854" w:tblpY="745"/>
        <w:tblOverlap w:val="never"/>
        <w:tblW w:w="6283"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373"/>
        <w:gridCol w:w="945"/>
        <w:gridCol w:w="6736"/>
        <w:gridCol w:w="957"/>
      </w:tblGrid>
      <w:tr w14:paraId="5378175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26" w:type="pct"/>
            <w:vAlign w:val="center"/>
          </w:tcPr>
          <w:p w14:paraId="248CEED9">
            <w:pPr>
              <w:adjustRightInd w:val="0"/>
              <w:snapToGrid w:val="0"/>
              <w:spacing w:line="360" w:lineRule="auto"/>
              <w:ind w:left="-1" w:leftChars="-1" w:hanging="2"/>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641" w:type="pct"/>
            <w:vAlign w:val="center"/>
          </w:tcPr>
          <w:p w14:paraId="3D7056AD">
            <w:pPr>
              <w:adjustRightInd w:val="0"/>
              <w:snapToGrid w:val="0"/>
              <w:spacing w:line="360" w:lineRule="auto"/>
              <w:ind w:left="-1" w:leftChars="-1" w:hanging="2"/>
              <w:jc w:val="center"/>
              <w:rPr>
                <w:rFonts w:hint="eastAsia" w:ascii="仿宋" w:hAnsi="仿宋" w:eastAsia="仿宋" w:cs="仿宋"/>
                <w:color w:val="auto"/>
                <w:sz w:val="24"/>
                <w:szCs w:val="24"/>
              </w:rPr>
            </w:pPr>
            <w:r>
              <w:rPr>
                <w:rFonts w:hint="eastAsia" w:ascii="仿宋" w:hAnsi="仿宋" w:eastAsia="仿宋" w:cs="仿宋"/>
                <w:color w:val="auto"/>
                <w:sz w:val="24"/>
                <w:szCs w:val="24"/>
              </w:rPr>
              <w:t>评分因素及权重</w:t>
            </w:r>
          </w:p>
        </w:tc>
        <w:tc>
          <w:tcPr>
            <w:tcW w:w="441" w:type="pct"/>
            <w:vAlign w:val="center"/>
          </w:tcPr>
          <w:p w14:paraId="4DF286A0">
            <w:pPr>
              <w:adjustRightInd w:val="0"/>
              <w:snapToGrid w:val="0"/>
              <w:spacing w:line="360" w:lineRule="auto"/>
              <w:ind w:left="-1" w:leftChars="-1" w:hanging="2"/>
              <w:jc w:val="center"/>
              <w:rPr>
                <w:rFonts w:hint="eastAsia" w:ascii="仿宋" w:hAnsi="仿宋" w:eastAsia="仿宋" w:cs="仿宋"/>
                <w:color w:val="auto"/>
                <w:sz w:val="24"/>
                <w:szCs w:val="24"/>
              </w:rPr>
            </w:pPr>
            <w:r>
              <w:rPr>
                <w:rFonts w:hint="eastAsia" w:ascii="仿宋" w:hAnsi="仿宋" w:eastAsia="仿宋" w:cs="仿宋"/>
                <w:color w:val="auto"/>
                <w:sz w:val="24"/>
                <w:szCs w:val="24"/>
              </w:rPr>
              <w:t>分值</w:t>
            </w:r>
          </w:p>
        </w:tc>
        <w:tc>
          <w:tcPr>
            <w:tcW w:w="3144" w:type="pct"/>
            <w:vAlign w:val="center"/>
          </w:tcPr>
          <w:p w14:paraId="79B3E709">
            <w:pPr>
              <w:adjustRightInd w:val="0"/>
              <w:snapToGrid w:val="0"/>
              <w:spacing w:line="360" w:lineRule="auto"/>
              <w:ind w:left="-1" w:leftChars="-1" w:hanging="2"/>
              <w:jc w:val="center"/>
              <w:rPr>
                <w:rFonts w:hint="eastAsia" w:ascii="仿宋" w:hAnsi="仿宋" w:eastAsia="仿宋" w:cs="仿宋"/>
                <w:color w:val="auto"/>
                <w:sz w:val="24"/>
                <w:szCs w:val="24"/>
              </w:rPr>
            </w:pPr>
            <w:r>
              <w:rPr>
                <w:rFonts w:hint="eastAsia" w:ascii="仿宋" w:hAnsi="仿宋" w:eastAsia="仿宋" w:cs="仿宋"/>
                <w:color w:val="auto"/>
                <w:sz w:val="24"/>
                <w:szCs w:val="24"/>
              </w:rPr>
              <w:t>评分标准</w:t>
            </w:r>
          </w:p>
        </w:tc>
        <w:tc>
          <w:tcPr>
            <w:tcW w:w="446" w:type="pct"/>
            <w:vAlign w:val="center"/>
          </w:tcPr>
          <w:p w14:paraId="4C3D3886">
            <w:pPr>
              <w:adjustRightInd w:val="0"/>
              <w:snapToGrid w:val="0"/>
              <w:spacing w:line="360" w:lineRule="auto"/>
              <w:ind w:left="-1" w:leftChars="-1" w:hanging="2"/>
              <w:jc w:val="center"/>
              <w:rPr>
                <w:rFonts w:hint="eastAsia" w:ascii="仿宋" w:hAnsi="仿宋" w:eastAsia="仿宋" w:cs="仿宋"/>
                <w:color w:val="auto"/>
                <w:sz w:val="24"/>
                <w:szCs w:val="24"/>
              </w:rPr>
            </w:pPr>
            <w:r>
              <w:rPr>
                <w:rFonts w:hint="eastAsia" w:ascii="仿宋" w:hAnsi="仿宋" w:eastAsia="仿宋" w:cs="仿宋"/>
                <w:color w:val="auto"/>
                <w:sz w:val="24"/>
                <w:szCs w:val="24"/>
              </w:rPr>
              <w:t>说明</w:t>
            </w:r>
          </w:p>
        </w:tc>
      </w:tr>
      <w:tr w14:paraId="1FE2B33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820" w:hRule="atLeast"/>
        </w:trPr>
        <w:tc>
          <w:tcPr>
            <w:tcW w:w="326" w:type="pct"/>
            <w:vAlign w:val="center"/>
          </w:tcPr>
          <w:p w14:paraId="2D621D2E">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641" w:type="pct"/>
            <w:vAlign w:val="center"/>
          </w:tcPr>
          <w:p w14:paraId="447FC086">
            <w:pPr>
              <w:adjustRightInd w:val="0"/>
              <w:snapToGrid w:val="0"/>
              <w:spacing w:line="360" w:lineRule="auto"/>
              <w:ind w:left="240" w:hanging="240" w:hangingChars="100"/>
              <w:jc w:val="center"/>
              <w:rPr>
                <w:rFonts w:hint="eastAsia" w:ascii="仿宋" w:hAnsi="仿宋" w:eastAsia="仿宋" w:cs="仿宋"/>
                <w:color w:val="auto"/>
                <w:sz w:val="24"/>
                <w:szCs w:val="24"/>
              </w:rPr>
            </w:pPr>
            <w:r>
              <w:rPr>
                <w:rFonts w:hint="eastAsia" w:ascii="仿宋" w:hAnsi="仿宋" w:eastAsia="仿宋" w:cs="仿宋"/>
                <w:color w:val="auto"/>
                <w:sz w:val="24"/>
                <w:szCs w:val="24"/>
              </w:rPr>
              <w:t>报价</w:t>
            </w:r>
          </w:p>
        </w:tc>
        <w:tc>
          <w:tcPr>
            <w:tcW w:w="441" w:type="pct"/>
            <w:vAlign w:val="center"/>
          </w:tcPr>
          <w:p w14:paraId="4A8AC359">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0</w:t>
            </w:r>
            <w:r>
              <w:rPr>
                <w:rFonts w:hint="eastAsia" w:ascii="仿宋" w:hAnsi="仿宋" w:eastAsia="仿宋" w:cs="仿宋"/>
                <w:color w:val="auto"/>
                <w:sz w:val="24"/>
                <w:szCs w:val="24"/>
                <w:lang w:eastAsia="zh-Hans"/>
              </w:rPr>
              <w:t>分</w:t>
            </w:r>
          </w:p>
        </w:tc>
        <w:tc>
          <w:tcPr>
            <w:tcW w:w="3144" w:type="pct"/>
            <w:vAlign w:val="center"/>
          </w:tcPr>
          <w:p w14:paraId="4E5C7B50">
            <w:pPr>
              <w:adjustRightInd w:val="0"/>
              <w:snapToGrid w:val="0"/>
              <w:spacing w:line="360" w:lineRule="auto"/>
              <w:jc w:val="left"/>
              <w:rPr>
                <w:rFonts w:hint="eastAsia" w:ascii="仿宋" w:hAnsi="仿宋" w:eastAsia="仿宋" w:cs="仿宋"/>
                <w:color w:val="auto"/>
                <w:sz w:val="24"/>
                <w:szCs w:val="24"/>
              </w:rPr>
            </w:pPr>
            <w:r>
              <w:rPr>
                <w:rFonts w:hint="eastAsia" w:ascii="仿宋" w:hAnsi="仿宋" w:eastAsia="仿宋" w:cs="仿宋"/>
                <w:sz w:val="24"/>
                <w:szCs w:val="24"/>
              </w:rPr>
              <w:t>满足比选文件要求且响应价格最低的响应报价为基准价，其价格分为满分。其他供应商的价格分统一按照下列公式计算：报价得分=</w:t>
            </w:r>
            <w:r>
              <w:rPr>
                <w:rFonts w:hint="eastAsia" w:ascii="仿宋" w:hAnsi="仿宋" w:eastAsia="仿宋" w:cs="仿宋"/>
                <w:sz w:val="24"/>
                <w:szCs w:val="24"/>
                <w:lang w:eastAsia="zh-CN"/>
              </w:rPr>
              <w:t>（</w:t>
            </w:r>
            <w:r>
              <w:rPr>
                <w:rFonts w:hint="eastAsia" w:ascii="仿宋" w:hAnsi="仿宋" w:eastAsia="仿宋" w:cs="仿宋"/>
                <w:sz w:val="24"/>
                <w:szCs w:val="24"/>
              </w:rPr>
              <w:t>基准价／比选报价</w:t>
            </w:r>
            <w:r>
              <w:rPr>
                <w:rFonts w:hint="eastAsia" w:ascii="仿宋" w:hAnsi="仿宋" w:eastAsia="仿宋" w:cs="仿宋"/>
                <w:sz w:val="24"/>
                <w:szCs w:val="24"/>
                <w:lang w:eastAsia="zh-CN"/>
              </w:rPr>
              <w:t>）</w:t>
            </w:r>
            <w:r>
              <w:rPr>
                <w:rFonts w:hint="eastAsia" w:ascii="仿宋" w:hAnsi="仿宋" w:eastAsia="仿宋" w:cs="仿宋"/>
                <w:sz w:val="24"/>
                <w:szCs w:val="24"/>
              </w:rPr>
              <w:t>* 30%*100</w:t>
            </w:r>
          </w:p>
        </w:tc>
        <w:tc>
          <w:tcPr>
            <w:tcW w:w="446" w:type="pct"/>
            <w:vAlign w:val="center"/>
          </w:tcPr>
          <w:p w14:paraId="7AD733B9">
            <w:pPr>
              <w:pStyle w:val="6"/>
              <w:adjustRightInd w:val="0"/>
              <w:snapToGrid w:val="0"/>
              <w:spacing w:line="360" w:lineRule="auto"/>
              <w:jc w:val="left"/>
              <w:rPr>
                <w:rFonts w:hint="eastAsia" w:ascii="仿宋" w:hAnsi="仿宋" w:eastAsia="仿宋" w:cs="仿宋"/>
                <w:color w:val="auto"/>
                <w:sz w:val="24"/>
                <w:szCs w:val="24"/>
              </w:rPr>
            </w:pPr>
          </w:p>
        </w:tc>
      </w:tr>
      <w:tr w14:paraId="098C939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326" w:type="pct"/>
            <w:vAlign w:val="center"/>
          </w:tcPr>
          <w:p w14:paraId="55B9D228">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641" w:type="pct"/>
            <w:vAlign w:val="center"/>
          </w:tcPr>
          <w:p w14:paraId="6E3CC2B4">
            <w:pPr>
              <w:adjustRightInd w:val="0"/>
              <w:snapToGrid w:val="0"/>
              <w:spacing w:line="360" w:lineRule="auto"/>
              <w:ind w:left="240" w:hanging="240" w:hangingChars="100"/>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技术参数</w:t>
            </w:r>
          </w:p>
        </w:tc>
        <w:tc>
          <w:tcPr>
            <w:tcW w:w="441" w:type="pct"/>
            <w:vAlign w:val="center"/>
          </w:tcPr>
          <w:p w14:paraId="0F8391DB">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5分</w:t>
            </w:r>
          </w:p>
        </w:tc>
        <w:tc>
          <w:tcPr>
            <w:tcW w:w="3144" w:type="pct"/>
            <w:vAlign w:val="center"/>
          </w:tcPr>
          <w:p w14:paraId="06A237A6">
            <w:pPr>
              <w:adjustRightInd w:val="0"/>
              <w:snapToGrid w:val="0"/>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供应商提供的产品参数全部满足招标文件技术要求的得</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5分，</w:t>
            </w:r>
            <w:bookmarkStart w:id="12" w:name="OLE_LINK6"/>
            <w:r>
              <w:rPr>
                <w:rFonts w:hint="eastAsia" w:ascii="仿宋" w:hAnsi="仿宋" w:eastAsia="仿宋" w:cs="仿宋"/>
                <w:color w:val="auto"/>
                <w:sz w:val="24"/>
                <w:szCs w:val="24"/>
              </w:rPr>
              <w:t>每有一项带★的参数不满足扣</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w:t>
            </w:r>
            <w:bookmarkEnd w:id="12"/>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其它</w:t>
            </w:r>
            <w:r>
              <w:rPr>
                <w:rFonts w:hint="eastAsia" w:ascii="仿宋" w:hAnsi="仿宋" w:eastAsia="仿宋" w:cs="仿宋"/>
                <w:color w:val="auto"/>
                <w:sz w:val="24"/>
                <w:szCs w:val="24"/>
              </w:rPr>
              <w:t>参数不满足</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扣0.</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分，扣完为止。</w:t>
            </w:r>
          </w:p>
        </w:tc>
        <w:tc>
          <w:tcPr>
            <w:tcW w:w="446" w:type="pct"/>
            <w:vAlign w:val="center"/>
          </w:tcPr>
          <w:p w14:paraId="1C2622FC">
            <w:pPr>
              <w:pStyle w:val="6"/>
              <w:adjustRightInd w:val="0"/>
              <w:snapToGrid w:val="0"/>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按要求提供证明材料</w:t>
            </w:r>
          </w:p>
        </w:tc>
      </w:tr>
      <w:tr w14:paraId="7F85B04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26" w:type="pct"/>
            <w:vAlign w:val="center"/>
          </w:tcPr>
          <w:p w14:paraId="779B0CFC">
            <w:pPr>
              <w:adjustRightInd w:val="0"/>
              <w:snapToGrid w:val="0"/>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w:t>
            </w:r>
          </w:p>
        </w:tc>
        <w:tc>
          <w:tcPr>
            <w:tcW w:w="641" w:type="pct"/>
            <w:vAlign w:val="center"/>
          </w:tcPr>
          <w:p w14:paraId="333ED6BC">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履约能力</w:t>
            </w:r>
          </w:p>
        </w:tc>
        <w:tc>
          <w:tcPr>
            <w:tcW w:w="441" w:type="pct"/>
            <w:vAlign w:val="center"/>
          </w:tcPr>
          <w:p w14:paraId="19579A26">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10分</w:t>
            </w:r>
          </w:p>
        </w:tc>
        <w:tc>
          <w:tcPr>
            <w:tcW w:w="3144" w:type="pct"/>
            <w:vAlign w:val="center"/>
          </w:tcPr>
          <w:p w14:paraId="42959D05">
            <w:pPr>
              <w:adjustRightInd w:val="0"/>
              <w:snapToGrid w:val="0"/>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自2022年1月1日以来（以合同签订时间为准），供应商每具有1个类似类项目业绩得2分，最多得10分。</w:t>
            </w:r>
          </w:p>
          <w:p w14:paraId="052F1406">
            <w:pPr>
              <w:adjustRightInd w:val="0"/>
              <w:snapToGrid w:val="0"/>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注：本项计分以合同（均为原件彩色扫描件）为准，未提供或提供不全的不得分。</w:t>
            </w:r>
          </w:p>
        </w:tc>
        <w:tc>
          <w:tcPr>
            <w:tcW w:w="446" w:type="pct"/>
            <w:vAlign w:val="center"/>
          </w:tcPr>
          <w:p w14:paraId="3E9BAD74">
            <w:pPr>
              <w:pStyle w:val="25"/>
              <w:adjustRightInd w:val="0"/>
              <w:snapToGrid w:val="0"/>
              <w:spacing w:line="360" w:lineRule="auto"/>
              <w:ind w:firstLine="0" w:firstLineChars="0"/>
              <w:jc w:val="left"/>
              <w:rPr>
                <w:rFonts w:hint="eastAsia" w:ascii="仿宋" w:hAnsi="仿宋" w:eastAsia="仿宋" w:cs="仿宋"/>
                <w:color w:val="auto"/>
                <w:sz w:val="24"/>
                <w:szCs w:val="24"/>
              </w:rPr>
            </w:pPr>
            <w:bookmarkStart w:id="13" w:name="OLE_LINK7"/>
            <w:r>
              <w:rPr>
                <w:rFonts w:hint="eastAsia" w:ascii="仿宋" w:hAnsi="仿宋" w:eastAsia="仿宋" w:cs="仿宋"/>
                <w:color w:val="auto"/>
                <w:sz w:val="24"/>
                <w:szCs w:val="24"/>
              </w:rPr>
              <w:t>按要求提供证明材料</w:t>
            </w:r>
            <w:bookmarkEnd w:id="13"/>
          </w:p>
        </w:tc>
      </w:tr>
      <w:tr w14:paraId="693C041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26" w:type="pct"/>
            <w:vAlign w:val="center"/>
          </w:tcPr>
          <w:p w14:paraId="634C3351">
            <w:pPr>
              <w:adjustRightInd w:val="0"/>
              <w:snapToGrid w:val="0"/>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4</w:t>
            </w:r>
          </w:p>
        </w:tc>
        <w:tc>
          <w:tcPr>
            <w:tcW w:w="641" w:type="pct"/>
            <w:vAlign w:val="center"/>
          </w:tcPr>
          <w:p w14:paraId="2044283A">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实施方案</w:t>
            </w:r>
          </w:p>
        </w:tc>
        <w:tc>
          <w:tcPr>
            <w:tcW w:w="441" w:type="pct"/>
            <w:vAlign w:val="center"/>
          </w:tcPr>
          <w:p w14:paraId="29E80872">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lang w:eastAsia="zh-Hans"/>
              </w:rPr>
              <w:t>分</w:t>
            </w:r>
          </w:p>
        </w:tc>
        <w:tc>
          <w:tcPr>
            <w:tcW w:w="3144" w:type="pct"/>
            <w:shd w:val="clear" w:color="auto" w:fill="auto"/>
            <w:vAlign w:val="center"/>
          </w:tcPr>
          <w:p w14:paraId="40974E35">
            <w:pPr>
              <w:adjustRightInd w:val="0"/>
              <w:snapToGrid w:val="0"/>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供应商提供详细的实施方案，方案包括：1、项目团队组织保障，明确团队管理架构与职责分工；2、详细的供货运输方案；3、安装调试方案；4、进度和质量保证措施；5、针对突发事件的应急处理预案。</w:t>
            </w:r>
          </w:p>
          <w:p w14:paraId="702F3990">
            <w:pPr>
              <w:adjustRightInd w:val="0"/>
              <w:snapToGrid w:val="0"/>
              <w:spacing w:line="360" w:lineRule="auto"/>
              <w:jc w:val="left"/>
              <w:rPr>
                <w:rFonts w:hint="eastAsia" w:ascii="仿宋" w:hAnsi="仿宋" w:eastAsia="仿宋" w:cs="仿宋"/>
                <w:color w:val="auto"/>
                <w:sz w:val="24"/>
                <w:szCs w:val="24"/>
                <w:lang w:val="en-US" w:eastAsia="zh-CN" w:bidi="ar-SA"/>
              </w:rPr>
            </w:pPr>
            <w:r>
              <w:rPr>
                <w:rFonts w:hint="eastAsia" w:ascii="仿宋" w:hAnsi="仿宋" w:eastAsia="仿宋" w:cs="仿宋"/>
                <w:color w:val="auto"/>
                <w:kern w:val="2"/>
                <w:sz w:val="24"/>
                <w:szCs w:val="24"/>
              </w:rPr>
              <w:t>方案优的得</w:t>
            </w:r>
            <w:r>
              <w:rPr>
                <w:rFonts w:hint="eastAsia" w:ascii="仿宋" w:hAnsi="仿宋" w:eastAsia="仿宋" w:cs="仿宋"/>
                <w:color w:val="auto"/>
                <w:kern w:val="2"/>
                <w:sz w:val="24"/>
                <w:szCs w:val="24"/>
                <w:lang w:val="en-US" w:eastAsia="zh-CN"/>
              </w:rPr>
              <w:t>15</w:t>
            </w:r>
            <w:r>
              <w:rPr>
                <w:rFonts w:hint="eastAsia" w:ascii="仿宋" w:hAnsi="仿宋" w:eastAsia="仿宋" w:cs="仿宋"/>
                <w:color w:val="auto"/>
                <w:kern w:val="2"/>
                <w:sz w:val="24"/>
                <w:szCs w:val="24"/>
              </w:rPr>
              <w:t>～</w:t>
            </w:r>
            <w:r>
              <w:rPr>
                <w:rFonts w:hint="eastAsia" w:ascii="仿宋" w:hAnsi="仿宋" w:eastAsia="仿宋" w:cs="仿宋"/>
                <w:color w:val="auto"/>
                <w:kern w:val="2"/>
                <w:sz w:val="24"/>
                <w:szCs w:val="24"/>
                <w:lang w:val="en-US" w:eastAsia="zh-CN"/>
              </w:rPr>
              <w:t>12</w:t>
            </w:r>
            <w:r>
              <w:rPr>
                <w:rFonts w:hint="eastAsia" w:ascii="仿宋" w:hAnsi="仿宋" w:eastAsia="仿宋" w:cs="仿宋"/>
                <w:color w:val="auto"/>
                <w:kern w:val="2"/>
                <w:sz w:val="24"/>
                <w:szCs w:val="24"/>
              </w:rPr>
              <w:t>；良的得</w:t>
            </w:r>
            <w:r>
              <w:rPr>
                <w:rFonts w:hint="eastAsia" w:ascii="仿宋" w:hAnsi="仿宋" w:eastAsia="仿宋" w:cs="仿宋"/>
                <w:color w:val="auto"/>
                <w:kern w:val="2"/>
                <w:sz w:val="24"/>
                <w:szCs w:val="24"/>
                <w:lang w:val="en-US" w:eastAsia="zh-CN"/>
              </w:rPr>
              <w:t>11</w:t>
            </w:r>
            <w:r>
              <w:rPr>
                <w:rFonts w:hint="eastAsia" w:ascii="仿宋" w:hAnsi="仿宋" w:eastAsia="仿宋" w:cs="仿宋"/>
                <w:color w:val="auto"/>
                <w:kern w:val="2"/>
                <w:sz w:val="24"/>
                <w:szCs w:val="24"/>
              </w:rPr>
              <w:t>～</w:t>
            </w:r>
            <w:r>
              <w:rPr>
                <w:rFonts w:hint="eastAsia" w:ascii="仿宋" w:hAnsi="仿宋" w:eastAsia="仿宋" w:cs="仿宋"/>
                <w:color w:val="auto"/>
                <w:kern w:val="2"/>
                <w:sz w:val="24"/>
                <w:szCs w:val="24"/>
                <w:lang w:val="en-US" w:eastAsia="zh-CN"/>
              </w:rPr>
              <w:t>8</w:t>
            </w:r>
            <w:r>
              <w:rPr>
                <w:rFonts w:hint="eastAsia" w:ascii="仿宋" w:hAnsi="仿宋" w:eastAsia="仿宋" w:cs="仿宋"/>
                <w:color w:val="auto"/>
                <w:kern w:val="2"/>
                <w:sz w:val="24"/>
                <w:szCs w:val="24"/>
              </w:rPr>
              <w:t>分；中的得</w:t>
            </w:r>
            <w:r>
              <w:rPr>
                <w:rFonts w:hint="eastAsia" w:ascii="仿宋" w:hAnsi="仿宋" w:eastAsia="仿宋" w:cs="仿宋"/>
                <w:color w:val="auto"/>
                <w:kern w:val="2"/>
                <w:sz w:val="24"/>
                <w:szCs w:val="24"/>
                <w:lang w:val="en-US" w:eastAsia="zh-CN"/>
              </w:rPr>
              <w:t>7</w:t>
            </w:r>
            <w:r>
              <w:rPr>
                <w:rFonts w:hint="eastAsia" w:ascii="仿宋" w:hAnsi="仿宋" w:eastAsia="仿宋" w:cs="仿宋"/>
                <w:color w:val="auto"/>
                <w:kern w:val="2"/>
                <w:sz w:val="24"/>
                <w:szCs w:val="24"/>
              </w:rPr>
              <w:t>～</w:t>
            </w:r>
            <w:r>
              <w:rPr>
                <w:rFonts w:hint="eastAsia" w:ascii="仿宋" w:hAnsi="仿宋" w:eastAsia="仿宋" w:cs="仿宋"/>
                <w:color w:val="auto"/>
                <w:kern w:val="2"/>
                <w:sz w:val="24"/>
                <w:szCs w:val="24"/>
                <w:lang w:val="en-US" w:eastAsia="zh-CN"/>
              </w:rPr>
              <w:t>4</w:t>
            </w:r>
            <w:r>
              <w:rPr>
                <w:rFonts w:hint="eastAsia" w:ascii="仿宋" w:hAnsi="仿宋" w:eastAsia="仿宋" w:cs="仿宋"/>
                <w:color w:val="auto"/>
                <w:kern w:val="2"/>
                <w:sz w:val="24"/>
                <w:szCs w:val="24"/>
              </w:rPr>
              <w:t>分；差的得2分；未提供的不得分。</w:t>
            </w:r>
          </w:p>
        </w:tc>
        <w:tc>
          <w:tcPr>
            <w:tcW w:w="446" w:type="pct"/>
            <w:vAlign w:val="center"/>
          </w:tcPr>
          <w:p w14:paraId="32083330">
            <w:pPr>
              <w:pStyle w:val="25"/>
              <w:adjustRightInd w:val="0"/>
              <w:snapToGrid w:val="0"/>
              <w:spacing w:line="360" w:lineRule="auto"/>
              <w:ind w:firstLine="0" w:firstLineChars="0"/>
              <w:jc w:val="left"/>
              <w:rPr>
                <w:rFonts w:hint="eastAsia" w:ascii="仿宋" w:hAnsi="仿宋" w:eastAsia="仿宋" w:cs="仿宋"/>
                <w:color w:val="auto"/>
                <w:sz w:val="24"/>
                <w:szCs w:val="24"/>
              </w:rPr>
            </w:pPr>
            <w:r>
              <w:rPr>
                <w:rFonts w:hint="eastAsia" w:ascii="仿宋" w:hAnsi="仿宋" w:eastAsia="仿宋" w:cs="仿宋"/>
                <w:color w:val="auto"/>
                <w:sz w:val="24"/>
                <w:szCs w:val="24"/>
              </w:rPr>
              <w:t>按要求提供方案</w:t>
            </w:r>
          </w:p>
        </w:tc>
      </w:tr>
      <w:tr w14:paraId="59D46A6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326" w:type="pct"/>
            <w:vAlign w:val="center"/>
          </w:tcPr>
          <w:p w14:paraId="02CD00DD">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641" w:type="pct"/>
            <w:vAlign w:val="center"/>
          </w:tcPr>
          <w:p w14:paraId="733AEF18">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售后服务方案</w:t>
            </w:r>
          </w:p>
        </w:tc>
        <w:tc>
          <w:tcPr>
            <w:tcW w:w="441" w:type="pct"/>
            <w:vAlign w:val="center"/>
          </w:tcPr>
          <w:p w14:paraId="76AD898D">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0</w:t>
            </w:r>
            <w:r>
              <w:rPr>
                <w:rFonts w:hint="eastAsia" w:ascii="仿宋" w:hAnsi="仿宋" w:eastAsia="仿宋" w:cs="仿宋"/>
                <w:color w:val="auto"/>
                <w:sz w:val="24"/>
                <w:szCs w:val="24"/>
              </w:rPr>
              <w:t>分</w:t>
            </w:r>
          </w:p>
        </w:tc>
        <w:tc>
          <w:tcPr>
            <w:tcW w:w="3144" w:type="pct"/>
            <w:shd w:val="clear" w:color="auto" w:fill="auto"/>
            <w:vAlign w:val="center"/>
          </w:tcPr>
          <w:p w14:paraId="772D9897">
            <w:pPr>
              <w:adjustRightInd w:val="0"/>
              <w:snapToGrid w:val="0"/>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供应商提供详细的售后服务方案，方案包括：1、售后服务机构情况；2、售后培训方案；3、售后服务质量保障措施；4、售后服务管理制度；5、故障响应及处理方案。</w:t>
            </w:r>
          </w:p>
          <w:p w14:paraId="58A68B3E">
            <w:pPr>
              <w:adjustRightInd w:val="0"/>
              <w:snapToGrid w:val="0"/>
              <w:spacing w:line="360" w:lineRule="auto"/>
              <w:jc w:val="left"/>
              <w:rPr>
                <w:rFonts w:hint="eastAsia" w:ascii="仿宋" w:hAnsi="仿宋" w:eastAsia="仿宋" w:cs="仿宋"/>
                <w:color w:val="auto"/>
                <w:spacing w:val="-1"/>
                <w:sz w:val="24"/>
                <w:szCs w:val="24"/>
                <w:lang w:val="en-US" w:eastAsia="zh-CN" w:bidi="ar-SA"/>
              </w:rPr>
            </w:pPr>
            <w:r>
              <w:rPr>
                <w:rFonts w:hint="eastAsia" w:ascii="仿宋" w:hAnsi="仿宋" w:eastAsia="仿宋" w:cs="仿宋"/>
                <w:color w:val="auto"/>
                <w:kern w:val="2"/>
                <w:sz w:val="24"/>
                <w:szCs w:val="24"/>
              </w:rPr>
              <w:t>方案优的得</w:t>
            </w:r>
            <w:r>
              <w:rPr>
                <w:rFonts w:hint="eastAsia" w:ascii="仿宋" w:hAnsi="仿宋" w:eastAsia="仿宋" w:cs="仿宋"/>
                <w:color w:val="auto"/>
                <w:kern w:val="2"/>
                <w:sz w:val="24"/>
                <w:szCs w:val="24"/>
                <w:lang w:val="en-US" w:eastAsia="zh-CN"/>
              </w:rPr>
              <w:t>10</w:t>
            </w:r>
            <w:r>
              <w:rPr>
                <w:rFonts w:hint="eastAsia" w:ascii="仿宋" w:hAnsi="仿宋" w:eastAsia="仿宋" w:cs="仿宋"/>
                <w:color w:val="auto"/>
                <w:kern w:val="2"/>
                <w:sz w:val="24"/>
                <w:szCs w:val="24"/>
              </w:rPr>
              <w:t>～</w:t>
            </w:r>
            <w:r>
              <w:rPr>
                <w:rFonts w:hint="eastAsia" w:ascii="仿宋" w:hAnsi="仿宋" w:eastAsia="仿宋" w:cs="仿宋"/>
                <w:color w:val="auto"/>
                <w:kern w:val="2"/>
                <w:sz w:val="24"/>
                <w:szCs w:val="24"/>
                <w:lang w:val="en-US" w:eastAsia="zh-CN"/>
              </w:rPr>
              <w:t>8</w:t>
            </w:r>
            <w:r>
              <w:rPr>
                <w:rFonts w:hint="eastAsia" w:ascii="仿宋" w:hAnsi="仿宋" w:eastAsia="仿宋" w:cs="仿宋"/>
                <w:color w:val="auto"/>
                <w:kern w:val="2"/>
                <w:sz w:val="24"/>
                <w:szCs w:val="24"/>
              </w:rPr>
              <w:t>；良的得</w:t>
            </w:r>
            <w:r>
              <w:rPr>
                <w:rFonts w:hint="eastAsia" w:ascii="仿宋" w:hAnsi="仿宋" w:eastAsia="仿宋" w:cs="仿宋"/>
                <w:color w:val="auto"/>
                <w:kern w:val="2"/>
                <w:sz w:val="24"/>
                <w:szCs w:val="24"/>
                <w:lang w:val="en-US" w:eastAsia="zh-CN"/>
              </w:rPr>
              <w:t>7</w:t>
            </w:r>
            <w:r>
              <w:rPr>
                <w:rFonts w:hint="eastAsia" w:ascii="仿宋" w:hAnsi="仿宋" w:eastAsia="仿宋" w:cs="仿宋"/>
                <w:color w:val="auto"/>
                <w:kern w:val="2"/>
                <w:sz w:val="24"/>
                <w:szCs w:val="24"/>
              </w:rPr>
              <w:t>～</w:t>
            </w:r>
            <w:r>
              <w:rPr>
                <w:rFonts w:hint="eastAsia" w:ascii="仿宋" w:hAnsi="仿宋" w:eastAsia="仿宋" w:cs="仿宋"/>
                <w:color w:val="auto"/>
                <w:kern w:val="2"/>
                <w:sz w:val="24"/>
                <w:szCs w:val="24"/>
                <w:lang w:val="en-US" w:eastAsia="zh-CN"/>
              </w:rPr>
              <w:t>5</w:t>
            </w:r>
            <w:r>
              <w:rPr>
                <w:rFonts w:hint="eastAsia" w:ascii="仿宋" w:hAnsi="仿宋" w:eastAsia="仿宋" w:cs="仿宋"/>
                <w:color w:val="auto"/>
                <w:kern w:val="2"/>
                <w:sz w:val="24"/>
                <w:szCs w:val="24"/>
              </w:rPr>
              <w:t>分；中的得</w:t>
            </w:r>
            <w:r>
              <w:rPr>
                <w:rFonts w:hint="eastAsia" w:ascii="仿宋" w:hAnsi="仿宋" w:eastAsia="仿宋" w:cs="仿宋"/>
                <w:color w:val="auto"/>
                <w:kern w:val="2"/>
                <w:sz w:val="24"/>
                <w:szCs w:val="24"/>
                <w:lang w:val="en-US" w:eastAsia="zh-CN"/>
              </w:rPr>
              <w:t>5</w:t>
            </w:r>
            <w:r>
              <w:rPr>
                <w:rFonts w:hint="eastAsia" w:ascii="仿宋" w:hAnsi="仿宋" w:eastAsia="仿宋" w:cs="仿宋"/>
                <w:color w:val="auto"/>
                <w:kern w:val="2"/>
                <w:sz w:val="24"/>
                <w:szCs w:val="24"/>
              </w:rPr>
              <w:t>～</w:t>
            </w:r>
            <w:r>
              <w:rPr>
                <w:rFonts w:hint="eastAsia" w:ascii="仿宋" w:hAnsi="仿宋" w:eastAsia="仿宋" w:cs="仿宋"/>
                <w:color w:val="auto"/>
                <w:kern w:val="2"/>
                <w:sz w:val="24"/>
                <w:szCs w:val="24"/>
                <w:lang w:val="en-US" w:eastAsia="zh-CN"/>
              </w:rPr>
              <w:t>3</w:t>
            </w:r>
            <w:r>
              <w:rPr>
                <w:rFonts w:hint="eastAsia" w:ascii="仿宋" w:hAnsi="仿宋" w:eastAsia="仿宋" w:cs="仿宋"/>
                <w:color w:val="auto"/>
                <w:kern w:val="2"/>
                <w:sz w:val="24"/>
                <w:szCs w:val="24"/>
              </w:rPr>
              <w:t>分；差的得2分；未提供的不得分。</w:t>
            </w:r>
          </w:p>
        </w:tc>
        <w:tc>
          <w:tcPr>
            <w:tcW w:w="446" w:type="pct"/>
            <w:vAlign w:val="center"/>
          </w:tcPr>
          <w:p w14:paraId="4E648E37">
            <w:pPr>
              <w:pStyle w:val="13"/>
              <w:adjustRightInd w:val="0"/>
              <w:snapToGrid w:val="0"/>
              <w:spacing w:beforeAutospacing="0" w:afterAutospacing="0" w:line="360" w:lineRule="auto"/>
              <w:rPr>
                <w:rFonts w:hint="eastAsia" w:ascii="仿宋" w:hAnsi="仿宋" w:eastAsia="仿宋" w:cs="仿宋"/>
                <w:color w:val="auto"/>
                <w:spacing w:val="4"/>
              </w:rPr>
            </w:pPr>
            <w:r>
              <w:rPr>
                <w:rFonts w:hint="eastAsia" w:ascii="仿宋" w:hAnsi="仿宋" w:eastAsia="仿宋" w:cs="仿宋"/>
                <w:color w:val="auto"/>
              </w:rPr>
              <w:t>按要求提供方案</w:t>
            </w:r>
          </w:p>
        </w:tc>
      </w:tr>
    </w:tbl>
    <w:p w14:paraId="69BCE728">
      <w:pPr>
        <w:widowControl/>
        <w:jc w:val="both"/>
        <w:textAlignment w:val="center"/>
        <w:rPr>
          <w:rFonts w:hint="eastAsia" w:ascii="仿宋" w:hAnsi="仿宋" w:eastAsia="仿宋" w:cs="仿宋"/>
          <w:b/>
          <w:bCs/>
          <w:color w:val="auto"/>
          <w:kern w:val="2"/>
          <w:sz w:val="28"/>
          <w:szCs w:val="28"/>
          <w:lang w:val="en-US" w:eastAsia="zh-CN" w:bidi="ar-SA"/>
        </w:rPr>
      </w:pPr>
    </w:p>
    <w:p w14:paraId="2AAAD7A0">
      <w:pPr>
        <w:widowControl/>
        <w:jc w:val="both"/>
        <w:textAlignment w:val="center"/>
        <w:rPr>
          <w:rFonts w:hint="eastAsia" w:ascii="仿宋" w:hAnsi="仿宋" w:eastAsia="仿宋" w:cs="仿宋"/>
          <w:color w:val="auto"/>
          <w:kern w:val="2"/>
          <w:sz w:val="28"/>
          <w:szCs w:val="28"/>
          <w:lang w:val="en-US" w:eastAsia="zh-CN"/>
        </w:rPr>
      </w:pPr>
      <w:r>
        <w:rPr>
          <w:rFonts w:hint="eastAsia" w:ascii="仿宋" w:hAnsi="仿宋" w:eastAsia="仿宋" w:cs="仿宋"/>
          <w:b/>
          <w:bCs/>
          <w:color w:val="auto"/>
          <w:kern w:val="2"/>
          <w:sz w:val="28"/>
          <w:szCs w:val="28"/>
          <w:lang w:val="en-US" w:eastAsia="zh-CN" w:bidi="ar-SA"/>
        </w:rPr>
        <w:t>六、采购合同（自拟）</w:t>
      </w:r>
      <w:r>
        <w:rPr>
          <w:rFonts w:hint="eastAsia" w:ascii="仿宋" w:hAnsi="仿宋" w:eastAsia="仿宋" w:cs="仿宋"/>
          <w:color w:val="auto"/>
          <w:kern w:val="2"/>
          <w:sz w:val="28"/>
          <w:szCs w:val="28"/>
          <w:lang w:val="en-US" w:eastAsia="zh-CN"/>
        </w:rPr>
        <w:br w:type="page"/>
      </w:r>
    </w:p>
    <w:p w14:paraId="2EDC04DA">
      <w:pPr>
        <w:jc w:val="both"/>
        <w:rPr>
          <w:rFonts w:hint="eastAsia" w:ascii="仿宋" w:hAnsi="仿宋" w:eastAsia="仿宋" w:cs="仿宋"/>
          <w:b/>
          <w:bCs/>
          <w:color w:val="auto"/>
          <w:sz w:val="30"/>
          <w:szCs w:val="30"/>
          <w:lang w:val="en-US" w:eastAsia="zh-CN"/>
        </w:rPr>
        <w:sectPr>
          <w:pgSz w:w="11906" w:h="16838"/>
          <w:pgMar w:top="1440" w:right="1800" w:bottom="1440" w:left="1800" w:header="851" w:footer="992" w:gutter="0"/>
          <w:cols w:space="425" w:num="1"/>
          <w:docGrid w:type="lines" w:linePitch="312" w:charSpace="0"/>
        </w:sectPr>
      </w:pPr>
    </w:p>
    <w:p w14:paraId="508995DF">
      <w:pPr>
        <w:jc w:val="both"/>
        <w:rPr>
          <w:rFonts w:hint="eastAsia" w:ascii="仿宋" w:hAnsi="仿宋" w:eastAsia="仿宋" w:cs="仿宋"/>
          <w:b/>
          <w:bCs/>
          <w:color w:val="auto"/>
          <w:sz w:val="24"/>
          <w:szCs w:val="24"/>
          <w:lang w:eastAsia="zh-CN"/>
        </w:rPr>
      </w:pPr>
      <w:r>
        <w:rPr>
          <w:rFonts w:hint="eastAsia" w:ascii="仿宋" w:hAnsi="仿宋" w:eastAsia="仿宋" w:cs="仿宋"/>
          <w:b/>
          <w:bCs/>
          <w:color w:val="auto"/>
          <w:sz w:val="30"/>
          <w:szCs w:val="30"/>
          <w:lang w:val="en-US" w:eastAsia="zh-CN"/>
        </w:rPr>
        <w:t>六、</w:t>
      </w:r>
      <w:r>
        <w:rPr>
          <w:rFonts w:hint="eastAsia" w:ascii="仿宋" w:hAnsi="仿宋" w:eastAsia="仿宋" w:cs="仿宋"/>
          <w:b/>
          <w:bCs/>
          <w:color w:val="auto"/>
          <w:sz w:val="30"/>
          <w:szCs w:val="30"/>
        </w:rPr>
        <w:t>报价表</w:t>
      </w:r>
      <w:r>
        <w:rPr>
          <w:rFonts w:hint="eastAsia" w:ascii="仿宋" w:hAnsi="仿宋" w:eastAsia="仿宋" w:cs="仿宋"/>
          <w:b/>
          <w:bCs/>
          <w:color w:val="auto"/>
          <w:sz w:val="30"/>
          <w:szCs w:val="30"/>
          <w:lang w:eastAsia="zh-CN"/>
        </w:rPr>
        <w:t>（</w:t>
      </w:r>
      <w:r>
        <w:rPr>
          <w:rFonts w:hint="eastAsia" w:ascii="仿宋" w:hAnsi="仿宋" w:eastAsia="仿宋" w:cs="仿宋"/>
          <w:b/>
          <w:bCs/>
          <w:color w:val="auto"/>
          <w:sz w:val="30"/>
          <w:szCs w:val="30"/>
          <w:lang w:val="en-US" w:eastAsia="zh-CN"/>
        </w:rPr>
        <w:t>不允许改动格式</w:t>
      </w:r>
      <w:r>
        <w:rPr>
          <w:rFonts w:hint="eastAsia" w:ascii="仿宋" w:hAnsi="仿宋" w:eastAsia="仿宋" w:cs="仿宋"/>
          <w:b/>
          <w:bCs/>
          <w:color w:val="auto"/>
          <w:sz w:val="30"/>
          <w:szCs w:val="30"/>
          <w:lang w:eastAsia="zh-CN"/>
        </w:rPr>
        <w:t>）</w:t>
      </w:r>
    </w:p>
    <w:tbl>
      <w:tblPr>
        <w:tblStyle w:val="15"/>
        <w:tblW w:w="5007" w:type="pct"/>
        <w:tblInd w:w="0" w:type="dxa"/>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autofit"/>
        <w:tblCellMar>
          <w:top w:w="0" w:type="dxa"/>
          <w:left w:w="0" w:type="dxa"/>
          <w:bottom w:w="0" w:type="dxa"/>
          <w:right w:w="0" w:type="dxa"/>
        </w:tblCellMar>
      </w:tblPr>
      <w:tblGrid>
        <w:gridCol w:w="1093"/>
        <w:gridCol w:w="2993"/>
        <w:gridCol w:w="2558"/>
        <w:gridCol w:w="2777"/>
        <w:gridCol w:w="4603"/>
      </w:tblGrid>
      <w:tr w14:paraId="4E70D15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90" w:type="pct"/>
            <w:shd w:val="clear" w:color="auto" w:fill="FFFFFF"/>
            <w:tcMar>
              <w:top w:w="15" w:type="dxa"/>
              <w:left w:w="15" w:type="dxa"/>
              <w:right w:w="15" w:type="dxa"/>
            </w:tcMar>
            <w:vAlign w:val="center"/>
          </w:tcPr>
          <w:p w14:paraId="3A924A02">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 w:hAnsi="仿宋" w:eastAsia="仿宋" w:cs="仿宋"/>
                <w:b/>
                <w:color w:val="auto"/>
                <w:sz w:val="28"/>
                <w:szCs w:val="28"/>
              </w:rPr>
            </w:pPr>
            <w:r>
              <w:rPr>
                <w:rFonts w:hint="eastAsia" w:ascii="仿宋" w:hAnsi="仿宋" w:eastAsia="仿宋" w:cs="仿宋"/>
                <w:b/>
                <w:color w:val="auto"/>
                <w:sz w:val="28"/>
                <w:szCs w:val="28"/>
              </w:rPr>
              <w:t>序号</w:t>
            </w:r>
          </w:p>
        </w:tc>
        <w:tc>
          <w:tcPr>
            <w:tcW w:w="1067" w:type="pct"/>
            <w:shd w:val="clear" w:color="auto" w:fill="FFFFFF"/>
            <w:tcMar>
              <w:top w:w="15" w:type="dxa"/>
              <w:left w:w="15" w:type="dxa"/>
              <w:right w:w="15" w:type="dxa"/>
            </w:tcMar>
            <w:vAlign w:val="center"/>
          </w:tcPr>
          <w:p w14:paraId="6EF71FA8">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 w:hAnsi="仿宋" w:eastAsia="仿宋" w:cs="仿宋"/>
                <w:b/>
                <w:color w:val="auto"/>
                <w:sz w:val="28"/>
                <w:szCs w:val="28"/>
              </w:rPr>
            </w:pPr>
            <w:r>
              <w:rPr>
                <w:rFonts w:hint="eastAsia" w:ascii="仿宋" w:hAnsi="仿宋" w:eastAsia="仿宋" w:cs="仿宋"/>
                <w:b/>
                <w:color w:val="auto"/>
                <w:sz w:val="28"/>
                <w:szCs w:val="28"/>
              </w:rPr>
              <w:t>服务内容</w:t>
            </w:r>
          </w:p>
        </w:tc>
        <w:tc>
          <w:tcPr>
            <w:tcW w:w="912" w:type="pct"/>
            <w:shd w:val="clear" w:color="auto" w:fill="FFFFFF"/>
            <w:tcMar>
              <w:top w:w="15" w:type="dxa"/>
              <w:left w:w="15" w:type="dxa"/>
              <w:right w:w="15" w:type="dxa"/>
            </w:tcMar>
            <w:vAlign w:val="center"/>
          </w:tcPr>
          <w:p w14:paraId="72DFE4B5">
            <w:pPr>
              <w:keepNext w:val="0"/>
              <w:keepLines w:val="0"/>
              <w:pageBreakBefore w:val="0"/>
              <w:kinsoku/>
              <w:wordWrap/>
              <w:overflowPunct/>
              <w:topLinePunct w:val="0"/>
              <w:autoSpaceDE/>
              <w:autoSpaceDN/>
              <w:bidi w:val="0"/>
              <w:adjustRightInd w:val="0"/>
              <w:snapToGrid w:val="0"/>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服务期限</w:t>
            </w:r>
          </w:p>
        </w:tc>
        <w:tc>
          <w:tcPr>
            <w:tcW w:w="990" w:type="pct"/>
            <w:shd w:val="clear" w:color="auto" w:fill="FFFFFF"/>
            <w:tcMar>
              <w:top w:w="15" w:type="dxa"/>
              <w:left w:w="15" w:type="dxa"/>
              <w:right w:w="15" w:type="dxa"/>
            </w:tcMar>
            <w:vAlign w:val="center"/>
          </w:tcPr>
          <w:p w14:paraId="2CFFD514">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lang w:val="en-US" w:eastAsia="zh-CN"/>
              </w:rPr>
              <w:t>比选报价（元）</w:t>
            </w:r>
          </w:p>
        </w:tc>
        <w:tc>
          <w:tcPr>
            <w:tcW w:w="1639" w:type="pct"/>
            <w:shd w:val="clear" w:color="auto" w:fill="FFFFFF"/>
            <w:tcMar>
              <w:top w:w="15" w:type="dxa"/>
              <w:left w:w="15" w:type="dxa"/>
              <w:right w:w="15" w:type="dxa"/>
            </w:tcMar>
            <w:vAlign w:val="center"/>
          </w:tcPr>
          <w:p w14:paraId="1DF59526">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备注</w:t>
            </w:r>
          </w:p>
        </w:tc>
      </w:tr>
      <w:tr w14:paraId="20DBC6B6">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1155" w:hRule="atLeast"/>
        </w:trPr>
        <w:tc>
          <w:tcPr>
            <w:tcW w:w="390" w:type="pct"/>
            <w:shd w:val="clear" w:color="auto" w:fill="FFFFFF"/>
            <w:tcMar>
              <w:top w:w="15" w:type="dxa"/>
              <w:left w:w="15" w:type="dxa"/>
              <w:right w:w="15" w:type="dxa"/>
            </w:tcMar>
            <w:vAlign w:val="center"/>
          </w:tcPr>
          <w:p w14:paraId="455BB255">
            <w:pPr>
              <w:widowControl/>
              <w:jc w:val="center"/>
              <w:textAlignment w:val="center"/>
              <w:rPr>
                <w:rFonts w:hint="eastAsia" w:ascii="仿宋" w:hAnsi="仿宋" w:eastAsia="仿宋" w:cs="仿宋"/>
                <w:color w:val="auto"/>
                <w:sz w:val="28"/>
                <w:szCs w:val="28"/>
              </w:rPr>
            </w:pPr>
            <w:r>
              <w:rPr>
                <w:rFonts w:hint="eastAsia" w:ascii="仿宋" w:hAnsi="仿宋" w:eastAsia="仿宋" w:cs="仿宋"/>
                <w:color w:val="auto"/>
                <w:sz w:val="28"/>
                <w:szCs w:val="28"/>
              </w:rPr>
              <w:t>1</w:t>
            </w:r>
          </w:p>
        </w:tc>
        <w:tc>
          <w:tcPr>
            <w:tcW w:w="1067" w:type="pct"/>
            <w:shd w:val="clear" w:color="auto" w:fill="FFFFFF"/>
            <w:tcMar>
              <w:top w:w="15" w:type="dxa"/>
              <w:left w:w="15" w:type="dxa"/>
              <w:right w:w="15" w:type="dxa"/>
            </w:tcMar>
            <w:vAlign w:val="center"/>
          </w:tcPr>
          <w:p w14:paraId="2E72D367">
            <w:pPr>
              <w:widowControl/>
              <w:jc w:val="both"/>
              <w:textAlignment w:val="center"/>
              <w:rPr>
                <w:rFonts w:hint="default" w:ascii="仿宋" w:hAnsi="仿宋" w:eastAsia="仿宋" w:cs="仿宋"/>
                <w:color w:val="auto"/>
                <w:sz w:val="28"/>
                <w:szCs w:val="28"/>
                <w:lang w:val="en-US"/>
              </w:rPr>
            </w:pPr>
            <w:r>
              <w:rPr>
                <w:rFonts w:hint="eastAsia" w:ascii="方正仿宋_GB2312" w:hAnsi="方正仿宋_GB2312" w:eastAsia="方正仿宋_GB2312" w:cs="方正仿宋_GB2312"/>
                <w:b w:val="0"/>
                <w:bCs w:val="0"/>
                <w:color w:val="auto"/>
                <w:kern w:val="2"/>
                <w:sz w:val="30"/>
                <w:szCs w:val="30"/>
                <w:lang w:eastAsia="zh-CN"/>
              </w:rPr>
              <w:t>合江县人民医院</w:t>
            </w:r>
            <w:r>
              <w:rPr>
                <w:rFonts w:hint="eastAsia" w:ascii="方正仿宋_GB2312" w:hAnsi="方正仿宋_GB2312" w:eastAsia="方正仿宋_GB2312" w:cs="方正仿宋_GB2312"/>
                <w:b w:val="0"/>
                <w:bCs w:val="0"/>
                <w:color w:val="auto"/>
                <w:kern w:val="2"/>
                <w:sz w:val="30"/>
                <w:szCs w:val="30"/>
                <w:lang w:val="en-US" w:eastAsia="zh-CN"/>
              </w:rPr>
              <w:t>污水在线监测设备</w:t>
            </w:r>
            <w:r>
              <w:rPr>
                <w:rFonts w:hint="eastAsia" w:ascii="方正仿宋_GB2312" w:hAnsi="方正仿宋_GB2312" w:eastAsia="方正仿宋_GB2312" w:cs="方正仿宋_GB2312"/>
                <w:b w:val="0"/>
                <w:bCs w:val="0"/>
                <w:color w:val="auto"/>
                <w:kern w:val="2"/>
                <w:sz w:val="30"/>
                <w:szCs w:val="30"/>
                <w:lang w:eastAsia="zh-CN"/>
              </w:rPr>
              <w:t>采购项目</w:t>
            </w:r>
          </w:p>
        </w:tc>
        <w:tc>
          <w:tcPr>
            <w:tcW w:w="912" w:type="pct"/>
            <w:shd w:val="clear" w:color="auto" w:fill="FFFFFF"/>
            <w:tcMar>
              <w:top w:w="15" w:type="dxa"/>
              <w:left w:w="15" w:type="dxa"/>
              <w:right w:w="15" w:type="dxa"/>
            </w:tcMar>
            <w:vAlign w:val="center"/>
          </w:tcPr>
          <w:p w14:paraId="1AFF3679">
            <w:pPr>
              <w:widowControl/>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合同签订后15天内完成交货</w:t>
            </w:r>
          </w:p>
        </w:tc>
        <w:tc>
          <w:tcPr>
            <w:tcW w:w="990" w:type="pct"/>
            <w:shd w:val="clear" w:color="auto" w:fill="FFFFFF"/>
            <w:tcMar>
              <w:top w:w="15" w:type="dxa"/>
              <w:left w:w="15" w:type="dxa"/>
              <w:right w:w="15" w:type="dxa"/>
            </w:tcMar>
            <w:vAlign w:val="center"/>
          </w:tcPr>
          <w:p w14:paraId="3A016CA1">
            <w:pPr>
              <w:jc w:val="center"/>
              <w:rPr>
                <w:rFonts w:hint="eastAsia" w:ascii="仿宋" w:hAnsi="仿宋" w:eastAsia="仿宋" w:cs="仿宋"/>
                <w:color w:val="auto"/>
                <w:sz w:val="28"/>
                <w:szCs w:val="28"/>
              </w:rPr>
            </w:pPr>
          </w:p>
        </w:tc>
        <w:tc>
          <w:tcPr>
            <w:tcW w:w="1639" w:type="pct"/>
            <w:shd w:val="clear" w:color="auto" w:fill="FFFFFF"/>
            <w:tcMar>
              <w:top w:w="15" w:type="dxa"/>
              <w:left w:w="15" w:type="dxa"/>
              <w:right w:w="15" w:type="dxa"/>
            </w:tcMar>
            <w:vAlign w:val="center"/>
          </w:tcPr>
          <w:p w14:paraId="6D697125">
            <w:pPr>
              <w:rPr>
                <w:rFonts w:hint="eastAsia" w:ascii="仿宋" w:hAnsi="仿宋" w:eastAsia="仿宋" w:cs="仿宋"/>
                <w:color w:val="auto"/>
                <w:sz w:val="28"/>
                <w:szCs w:val="28"/>
                <w:lang w:eastAsia="zh-CN"/>
              </w:rPr>
            </w:pPr>
          </w:p>
        </w:tc>
      </w:tr>
      <w:tr w14:paraId="40ADBE7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0" w:type="dxa"/>
            <w:bottom w:w="0" w:type="dxa"/>
            <w:right w:w="0" w:type="dxa"/>
          </w:tblCellMar>
        </w:tblPrEx>
        <w:trPr>
          <w:trHeight w:val="1387" w:hRule="atLeast"/>
        </w:trPr>
        <w:tc>
          <w:tcPr>
            <w:tcW w:w="5000" w:type="pct"/>
            <w:gridSpan w:val="5"/>
            <w:shd w:val="clear" w:color="auto" w:fill="FFFFFF"/>
            <w:tcMar>
              <w:top w:w="15" w:type="dxa"/>
              <w:left w:w="15" w:type="dxa"/>
              <w:right w:w="15" w:type="dxa"/>
            </w:tcMar>
            <w:vAlign w:val="center"/>
          </w:tcPr>
          <w:p w14:paraId="2E1CA271">
            <w:pPr>
              <w:pStyle w:val="6"/>
              <w:rPr>
                <w:rFonts w:hint="eastAsia" w:ascii="仿宋" w:hAnsi="仿宋" w:eastAsia="仿宋" w:cs="仿宋"/>
                <w:color w:val="auto"/>
                <w:sz w:val="28"/>
                <w:szCs w:val="28"/>
                <w:lang w:eastAsia="zh-CN"/>
              </w:rPr>
            </w:pPr>
            <w:r>
              <w:rPr>
                <w:rFonts w:hint="eastAsia" w:ascii="仿宋" w:hAnsi="仿宋" w:eastAsia="仿宋" w:cs="仿宋"/>
                <w:b/>
                <w:color w:val="auto"/>
                <w:sz w:val="28"/>
                <w:szCs w:val="28"/>
                <w:lang w:val="en-US" w:eastAsia="zh-CN"/>
              </w:rPr>
              <w:t>比选报价</w:t>
            </w:r>
            <w:r>
              <w:rPr>
                <w:rFonts w:hint="eastAsia" w:ascii="仿宋" w:hAnsi="仿宋" w:eastAsia="仿宋" w:cs="仿宋"/>
                <w:color w:val="auto"/>
                <w:sz w:val="28"/>
                <w:szCs w:val="28"/>
                <w:lang w:eastAsia="zh-CN"/>
              </w:rPr>
              <w:t>：</w:t>
            </w:r>
          </w:p>
          <w:p w14:paraId="1E86F976">
            <w:pPr>
              <w:ind w:firstLine="480"/>
              <w:rPr>
                <w:rFonts w:hint="eastAsia" w:ascii="仿宋" w:hAnsi="仿宋" w:eastAsia="仿宋" w:cs="仿宋"/>
                <w:color w:val="auto"/>
                <w:sz w:val="28"/>
                <w:szCs w:val="28"/>
                <w:u w:val="none"/>
                <w:lang w:val="en-US"/>
              </w:rPr>
            </w:pPr>
            <w:r>
              <w:rPr>
                <w:rFonts w:hint="eastAsia" w:ascii="仿宋" w:hAnsi="仿宋" w:eastAsia="仿宋" w:cs="仿宋"/>
                <w:color w:val="auto"/>
                <w:sz w:val="28"/>
                <w:szCs w:val="28"/>
                <w:lang w:val="en-US" w:eastAsia="zh-CN"/>
              </w:rPr>
              <w:t>小写：</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大写：</w:t>
            </w:r>
            <w:r>
              <w:rPr>
                <w:rFonts w:hint="eastAsia" w:ascii="仿宋" w:hAnsi="仿宋" w:eastAsia="仿宋" w:cs="仿宋"/>
                <w:color w:val="auto"/>
                <w:sz w:val="28"/>
                <w:szCs w:val="28"/>
                <w:u w:val="single"/>
                <w:lang w:val="en-US" w:eastAsia="zh-CN"/>
              </w:rPr>
              <w:t xml:space="preserve">                        </w:t>
            </w:r>
          </w:p>
        </w:tc>
      </w:tr>
    </w:tbl>
    <w:p w14:paraId="749E0E4A">
      <w:pPr>
        <w:pStyle w:val="6"/>
        <w:keepNext w:val="0"/>
        <w:keepLines w:val="0"/>
        <w:pageBreakBefore w:val="0"/>
        <w:numPr>
          <w:ilvl w:val="0"/>
          <w:numId w:val="0"/>
        </w:numPr>
        <w:kinsoku/>
        <w:wordWrap/>
        <w:overflowPunct/>
        <w:topLinePunct w:val="0"/>
        <w:autoSpaceDE/>
        <w:autoSpaceDN/>
        <w:bidi w:val="0"/>
        <w:adjustRightInd w:val="0"/>
        <w:snapToGrid w:val="0"/>
        <w:spacing w:after="0"/>
        <w:ind w:leftChars="0" w:firstLine="442" w:firstLineChars="200"/>
        <w:textAlignment w:val="auto"/>
        <w:rPr>
          <w:rFonts w:hint="eastAsia" w:ascii="仿宋" w:hAnsi="仿宋" w:eastAsia="仿宋" w:cs="仿宋"/>
          <w:b/>
          <w:bCs/>
          <w:color w:val="auto"/>
          <w:sz w:val="22"/>
          <w:szCs w:val="18"/>
        </w:rPr>
      </w:pPr>
    </w:p>
    <w:p w14:paraId="2FC38E81">
      <w:pPr>
        <w:pStyle w:val="6"/>
        <w:keepNext w:val="0"/>
        <w:keepLines w:val="0"/>
        <w:pageBreakBefore w:val="0"/>
        <w:numPr>
          <w:ilvl w:val="0"/>
          <w:numId w:val="0"/>
        </w:numPr>
        <w:kinsoku/>
        <w:wordWrap/>
        <w:overflowPunct/>
        <w:topLinePunct w:val="0"/>
        <w:autoSpaceDE/>
        <w:autoSpaceDN/>
        <w:bidi w:val="0"/>
        <w:adjustRightInd w:val="0"/>
        <w:snapToGrid w:val="0"/>
        <w:spacing w:after="0"/>
        <w:ind w:leftChars="0" w:firstLine="442" w:firstLineChars="200"/>
        <w:textAlignment w:val="auto"/>
        <w:rPr>
          <w:rFonts w:hint="eastAsia" w:ascii="仿宋" w:hAnsi="仿宋" w:eastAsia="仿宋" w:cs="仿宋"/>
          <w:b/>
          <w:bCs w:val="0"/>
          <w:color w:val="auto"/>
          <w:sz w:val="24"/>
        </w:rPr>
      </w:pPr>
      <w:r>
        <w:rPr>
          <w:rFonts w:hint="eastAsia" w:ascii="仿宋" w:hAnsi="仿宋" w:eastAsia="仿宋" w:cs="仿宋"/>
          <w:b/>
          <w:bCs/>
          <w:color w:val="auto"/>
          <w:sz w:val="22"/>
          <w:szCs w:val="18"/>
        </w:rPr>
        <w:t>注：</w:t>
      </w:r>
      <w:r>
        <w:rPr>
          <w:rFonts w:hint="eastAsia" w:ascii="仿宋" w:hAnsi="仿宋" w:eastAsia="仿宋" w:cs="仿宋"/>
          <w:b w:val="0"/>
          <w:bCs w:val="0"/>
          <w:color w:val="auto"/>
          <w:sz w:val="22"/>
          <w:szCs w:val="18"/>
        </w:rPr>
        <w:t>供应商的报价是供应商响应本项目要求的全部工作内容的价格体现，包括供应商完成本项目所需的一切费用，报价为包干价</w:t>
      </w:r>
      <w:r>
        <w:rPr>
          <w:rFonts w:hint="eastAsia" w:ascii="仿宋" w:hAnsi="仿宋" w:eastAsia="仿宋" w:cs="仿宋"/>
          <w:b w:val="0"/>
          <w:bCs w:val="0"/>
          <w:color w:val="auto"/>
          <w:sz w:val="22"/>
          <w:szCs w:val="18"/>
          <w:lang w:val="zh-CN"/>
        </w:rPr>
        <w:t>，</w:t>
      </w:r>
      <w:r>
        <w:rPr>
          <w:rFonts w:hint="eastAsia" w:ascii="仿宋" w:hAnsi="仿宋" w:eastAsia="仿宋" w:cs="仿宋"/>
          <w:b w:val="0"/>
          <w:bCs w:val="0"/>
          <w:color w:val="auto"/>
          <w:sz w:val="22"/>
          <w:szCs w:val="18"/>
        </w:rPr>
        <w:t>在履约过程中成交人不得以任何理由要求</w:t>
      </w:r>
      <w:r>
        <w:rPr>
          <w:rFonts w:hint="eastAsia" w:ascii="仿宋" w:hAnsi="仿宋" w:eastAsia="仿宋" w:cs="仿宋"/>
          <w:b w:val="0"/>
          <w:bCs w:val="0"/>
          <w:color w:val="auto"/>
          <w:sz w:val="22"/>
          <w:szCs w:val="18"/>
          <w:lang w:val="en-US" w:eastAsia="zh-CN"/>
        </w:rPr>
        <w:t>采购</w:t>
      </w:r>
      <w:r>
        <w:rPr>
          <w:rFonts w:hint="eastAsia" w:ascii="仿宋" w:hAnsi="仿宋" w:eastAsia="仿宋" w:cs="仿宋"/>
          <w:b w:val="0"/>
          <w:bCs w:val="0"/>
          <w:color w:val="auto"/>
          <w:sz w:val="22"/>
          <w:szCs w:val="18"/>
        </w:rPr>
        <w:t>人支付其他费用。供应商每种</w:t>
      </w:r>
      <w:r>
        <w:rPr>
          <w:rFonts w:hint="eastAsia" w:ascii="仿宋" w:hAnsi="仿宋" w:eastAsia="仿宋" w:cs="仿宋"/>
          <w:b w:val="0"/>
          <w:bCs w:val="0"/>
          <w:color w:val="auto"/>
          <w:sz w:val="22"/>
          <w:szCs w:val="18"/>
          <w:lang w:val="en-US" w:eastAsia="zh-CN"/>
        </w:rPr>
        <w:t>产品</w:t>
      </w:r>
      <w:r>
        <w:rPr>
          <w:rFonts w:hint="eastAsia" w:ascii="仿宋" w:hAnsi="仿宋" w:eastAsia="仿宋" w:cs="仿宋"/>
          <w:b w:val="0"/>
          <w:bCs w:val="0"/>
          <w:color w:val="auto"/>
          <w:sz w:val="22"/>
          <w:szCs w:val="18"/>
        </w:rPr>
        <w:t>只允许有一个报价，并且在合同履行过程中是固定不变的，任何有选择或可调整的报价将不予接受，并按无效投标处理。</w:t>
      </w:r>
      <w:r>
        <w:rPr>
          <w:rFonts w:hint="eastAsia" w:ascii="仿宋" w:hAnsi="仿宋" w:eastAsia="仿宋" w:cs="仿宋"/>
          <w:b/>
          <w:bCs/>
          <w:color w:val="auto"/>
          <w:sz w:val="22"/>
          <w:szCs w:val="18"/>
          <w:lang w:val="en-US" w:eastAsia="zh-CN" w:bidi="ar-SA"/>
        </w:rPr>
        <w:t>报价最多保留小数点后两位。</w:t>
      </w:r>
      <w:r>
        <w:rPr>
          <w:rFonts w:hint="eastAsia" w:ascii="仿宋" w:hAnsi="仿宋" w:eastAsia="仿宋" w:cs="仿宋"/>
          <w:b/>
          <w:bCs/>
          <w:color w:val="auto"/>
          <w:sz w:val="22"/>
          <w:szCs w:val="22"/>
          <w:lang w:val="en-US" w:eastAsia="zh-CN"/>
        </w:rPr>
        <w:t>各项产品的小计（元）不得高于各产品的单项最高限价（元），否则视为无效报价。</w:t>
      </w:r>
    </w:p>
    <w:p w14:paraId="0C01FBE5">
      <w:pPr>
        <w:spacing w:line="240" w:lineRule="auto"/>
        <w:rPr>
          <w:rFonts w:hint="eastAsia" w:ascii="仿宋" w:hAnsi="仿宋" w:eastAsia="仿宋" w:cs="仿宋"/>
          <w:b/>
          <w:bCs w:val="0"/>
          <w:color w:val="auto"/>
          <w:sz w:val="24"/>
        </w:rPr>
      </w:pPr>
    </w:p>
    <w:p w14:paraId="4CDFEEC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b/>
          <w:bCs w:val="0"/>
          <w:color w:val="auto"/>
          <w:kern w:val="2"/>
          <w:sz w:val="24"/>
          <w:szCs w:val="22"/>
        </w:rPr>
      </w:pPr>
      <w:r>
        <w:rPr>
          <w:rFonts w:hint="eastAsia" w:ascii="仿宋" w:hAnsi="仿宋" w:eastAsia="仿宋" w:cs="仿宋"/>
          <w:b/>
          <w:bCs w:val="0"/>
          <w:color w:val="auto"/>
          <w:sz w:val="24"/>
        </w:rPr>
        <w:t>供应商</w:t>
      </w:r>
      <w:r>
        <w:rPr>
          <w:rFonts w:hint="eastAsia" w:ascii="仿宋" w:hAnsi="仿宋" w:eastAsia="仿宋" w:cs="仿宋"/>
          <w:b/>
          <w:bCs w:val="0"/>
          <w:color w:val="auto"/>
          <w:kern w:val="2"/>
          <w:sz w:val="24"/>
          <w:szCs w:val="22"/>
        </w:rPr>
        <w:t>名称：      （盖章）</w:t>
      </w:r>
    </w:p>
    <w:p w14:paraId="3B81E9B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b/>
          <w:bCs w:val="0"/>
          <w:color w:val="auto"/>
          <w:kern w:val="2"/>
          <w:sz w:val="24"/>
          <w:szCs w:val="22"/>
        </w:rPr>
      </w:pPr>
      <w:r>
        <w:rPr>
          <w:rFonts w:hint="eastAsia" w:ascii="仿宋" w:hAnsi="仿宋" w:eastAsia="仿宋" w:cs="仿宋"/>
          <w:b/>
          <w:bCs w:val="0"/>
          <w:color w:val="auto"/>
          <w:kern w:val="2"/>
          <w:sz w:val="24"/>
          <w:szCs w:val="22"/>
        </w:rPr>
        <w:t>法定代表人或授权代表（签字）：</w:t>
      </w:r>
    </w:p>
    <w:p w14:paraId="17030E0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仿宋" w:hAnsi="仿宋" w:eastAsia="仿宋" w:cs="仿宋"/>
          <w:b/>
          <w:bCs w:val="0"/>
          <w:color w:val="auto"/>
          <w:kern w:val="2"/>
          <w:sz w:val="24"/>
          <w:szCs w:val="22"/>
          <w:lang w:val="en-US" w:eastAsia="zh-CN"/>
        </w:rPr>
      </w:pPr>
      <w:r>
        <w:rPr>
          <w:rFonts w:hint="eastAsia" w:ascii="仿宋" w:hAnsi="仿宋" w:eastAsia="仿宋" w:cs="仿宋"/>
          <w:b/>
          <w:bCs w:val="0"/>
          <w:color w:val="auto"/>
          <w:kern w:val="2"/>
          <w:sz w:val="24"/>
          <w:szCs w:val="22"/>
          <w:lang w:val="en-US" w:eastAsia="zh-CN"/>
        </w:rPr>
        <w:t>联系方式：</w:t>
      </w:r>
    </w:p>
    <w:p w14:paraId="5312402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仿宋" w:hAnsi="仿宋" w:eastAsia="仿宋" w:cs="仿宋"/>
          <w:b w:val="0"/>
          <w:bCs w:val="0"/>
          <w:color w:val="auto"/>
          <w:kern w:val="2"/>
          <w:sz w:val="28"/>
          <w:szCs w:val="28"/>
          <w:lang w:val="en-US" w:eastAsia="zh-CN"/>
        </w:rPr>
      </w:pPr>
      <w:r>
        <w:rPr>
          <w:rFonts w:hint="eastAsia" w:ascii="仿宋" w:hAnsi="仿宋" w:eastAsia="仿宋" w:cs="仿宋"/>
          <w:b/>
          <w:bCs w:val="0"/>
          <w:color w:val="auto"/>
          <w:kern w:val="2"/>
          <w:sz w:val="24"/>
          <w:szCs w:val="22"/>
        </w:rPr>
        <w:t>日期</w:t>
      </w:r>
      <w:r>
        <w:rPr>
          <w:rFonts w:hint="eastAsia" w:ascii="仿宋" w:hAnsi="仿宋" w:eastAsia="仿宋" w:cs="仿宋"/>
          <w:b/>
          <w:bCs w:val="0"/>
          <w:color w:val="auto"/>
          <w:kern w:val="2"/>
          <w:sz w:val="24"/>
          <w:szCs w:val="22"/>
          <w:lang w:eastAsia="zh-CN"/>
        </w:rPr>
        <w:t>：</w:t>
      </w:r>
    </w:p>
    <w:sectPr>
      <w:pgSz w:w="16838" w:h="11906" w:orient="landscape"/>
      <w:pgMar w:top="1803" w:right="1440" w:bottom="1803" w:left="1440" w:header="851" w:footer="992" w:gutter="0"/>
      <w:cols w:space="0" w:num="1"/>
      <w:rtlGutter w:val="0"/>
      <w:docGrid w:type="lines" w:linePitch="48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1" w:fontKey="{0B2F4CBE-9245-4245-A1D5-F56E40100E6F}"/>
  </w:font>
  <w:font w:name="仿宋">
    <w:panose1 w:val="02010609060101010101"/>
    <w:charset w:val="86"/>
    <w:family w:val="auto"/>
    <w:pitch w:val="default"/>
    <w:sig w:usb0="800002BF" w:usb1="38CF7CFA" w:usb2="00000016" w:usb3="00000000" w:csb0="00040001" w:csb1="00000000"/>
    <w:embedRegular r:id="rId2" w:fontKey="{A09C8825-5D0C-4A46-8CC6-7DE4CB63FE17}"/>
  </w:font>
  <w:font w:name="方正小标宋简体">
    <w:panose1 w:val="03000509000000000000"/>
    <w:charset w:val="86"/>
    <w:family w:val="auto"/>
    <w:pitch w:val="default"/>
    <w:sig w:usb0="00000001" w:usb1="080E0000" w:usb2="00000000" w:usb3="00000000" w:csb0="00040000" w:csb1="00000000"/>
    <w:embedRegular r:id="rId3" w:fontKey="{FF28BB28-86E9-4E54-AC57-27C1B9B09681}"/>
  </w:font>
  <w:font w:name="方正仿宋简体">
    <w:panose1 w:val="03000509000000000000"/>
    <w:charset w:val="86"/>
    <w:family w:val="auto"/>
    <w:pitch w:val="default"/>
    <w:sig w:usb0="00000001" w:usb1="080E0000" w:usb2="00000000" w:usb3="00000000" w:csb0="00040000" w:csb1="00000000"/>
    <w:embedRegular r:id="rId4" w:fontKey="{7BD27693-8C92-4AA8-8E7D-02B058A219D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A4927A"/>
    <w:multiLevelType w:val="multilevel"/>
    <w:tmpl w:val="52A4927A"/>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F42C4E9"/>
    <w:multiLevelType w:val="multilevel"/>
    <w:tmpl w:val="5F42C4E9"/>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24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0A18F7"/>
    <w:rsid w:val="03860AF0"/>
    <w:rsid w:val="048760F2"/>
    <w:rsid w:val="050A18F7"/>
    <w:rsid w:val="07795BD0"/>
    <w:rsid w:val="085F1662"/>
    <w:rsid w:val="0D7C50A4"/>
    <w:rsid w:val="0E452EDF"/>
    <w:rsid w:val="0F135152"/>
    <w:rsid w:val="12460C1A"/>
    <w:rsid w:val="130C661B"/>
    <w:rsid w:val="17763069"/>
    <w:rsid w:val="1AAE7552"/>
    <w:rsid w:val="1B632FBD"/>
    <w:rsid w:val="1BA003FC"/>
    <w:rsid w:val="1DA836DB"/>
    <w:rsid w:val="23854124"/>
    <w:rsid w:val="23B9752B"/>
    <w:rsid w:val="24343749"/>
    <w:rsid w:val="24433C98"/>
    <w:rsid w:val="255567E0"/>
    <w:rsid w:val="271C5EF1"/>
    <w:rsid w:val="28DD56B9"/>
    <w:rsid w:val="29FF0F5F"/>
    <w:rsid w:val="2F0F2DE8"/>
    <w:rsid w:val="3029070E"/>
    <w:rsid w:val="34063D13"/>
    <w:rsid w:val="3492392A"/>
    <w:rsid w:val="35020CF9"/>
    <w:rsid w:val="364B55E9"/>
    <w:rsid w:val="384D5693"/>
    <w:rsid w:val="3DB26DB5"/>
    <w:rsid w:val="3EED6A30"/>
    <w:rsid w:val="444F3916"/>
    <w:rsid w:val="448779B0"/>
    <w:rsid w:val="465515D1"/>
    <w:rsid w:val="486C5762"/>
    <w:rsid w:val="495F72C5"/>
    <w:rsid w:val="4E6525CD"/>
    <w:rsid w:val="51583680"/>
    <w:rsid w:val="5220075B"/>
    <w:rsid w:val="53CE29C2"/>
    <w:rsid w:val="54DB173D"/>
    <w:rsid w:val="59566531"/>
    <w:rsid w:val="5C0E6052"/>
    <w:rsid w:val="5EFA535D"/>
    <w:rsid w:val="65602095"/>
    <w:rsid w:val="6A963E9C"/>
    <w:rsid w:val="6EA62AD1"/>
    <w:rsid w:val="6F4D1A15"/>
    <w:rsid w:val="707D6EAA"/>
    <w:rsid w:val="71844269"/>
    <w:rsid w:val="72084E9A"/>
    <w:rsid w:val="745F3296"/>
    <w:rsid w:val="75481E2B"/>
    <w:rsid w:val="75850790"/>
    <w:rsid w:val="78DF4BA6"/>
    <w:rsid w:val="790F0135"/>
    <w:rsid w:val="7B0D6053"/>
    <w:rsid w:val="7D760BA2"/>
    <w:rsid w:val="7F004771"/>
    <w:rsid w:val="7F945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sz w:val="34"/>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32"/>
    </w:rPr>
  </w:style>
  <w:style w:type="paragraph" w:styleId="3">
    <w:name w:val="heading 2"/>
    <w:basedOn w:val="1"/>
    <w:next w:val="1"/>
    <w:qFormat/>
    <w:uiPriority w:val="0"/>
    <w:pPr>
      <w:keepNext/>
      <w:keepLines/>
      <w:spacing w:before="260" w:after="260" w:line="500" w:lineRule="exact"/>
      <w:outlineLvl w:val="1"/>
    </w:pPr>
    <w:rPr>
      <w:rFonts w:ascii="Arial" w:hAnsi="Arial" w:eastAsia="黑体"/>
      <w:b/>
      <w:sz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toa heading"/>
    <w:basedOn w:val="1"/>
    <w:next w:val="1"/>
    <w:qFormat/>
    <w:uiPriority w:val="0"/>
    <w:pPr>
      <w:spacing w:before="120" w:beforeLines="0" w:beforeAutospacing="0"/>
    </w:pPr>
    <w:rPr>
      <w:rFonts w:ascii="Arial" w:hAnsi="Arial"/>
      <w:sz w:val="24"/>
    </w:rPr>
  </w:style>
  <w:style w:type="paragraph" w:styleId="6">
    <w:name w:val="Body Text"/>
    <w:basedOn w:val="1"/>
    <w:next w:val="7"/>
    <w:qFormat/>
    <w:uiPriority w:val="0"/>
    <w:pPr>
      <w:spacing w:after="120"/>
    </w:pPr>
  </w:style>
  <w:style w:type="paragraph" w:styleId="7">
    <w:name w:val="Body Text First Indent"/>
    <w:basedOn w:val="6"/>
    <w:next w:val="1"/>
    <w:unhideWhenUsed/>
    <w:qFormat/>
    <w:uiPriority w:val="99"/>
    <w:pPr>
      <w:ind w:firstLine="420" w:firstLineChars="100"/>
    </w:pPr>
  </w:style>
  <w:style w:type="paragraph" w:styleId="8">
    <w:name w:val="Body Text Indent"/>
    <w:basedOn w:val="1"/>
    <w:qFormat/>
    <w:uiPriority w:val="0"/>
    <w:pPr>
      <w:ind w:firstLine="630"/>
    </w:pPr>
    <w:rPr>
      <w:sz w:val="32"/>
    </w:rPr>
  </w:style>
  <w:style w:type="paragraph" w:styleId="9">
    <w:name w:val="Plain Text"/>
    <w:basedOn w:val="1"/>
    <w:qFormat/>
    <w:uiPriority w:val="0"/>
    <w:rPr>
      <w:rFonts w:ascii="宋体" w:hAnsi="Courier New"/>
      <w:szCs w:val="21"/>
    </w:rPr>
  </w:style>
  <w:style w:type="paragraph" w:styleId="10">
    <w:name w:val="Body Text Indent 2"/>
    <w:basedOn w:val="1"/>
    <w:next w:val="11"/>
    <w:qFormat/>
    <w:uiPriority w:val="0"/>
    <w:pPr>
      <w:spacing w:after="120" w:line="480" w:lineRule="auto"/>
      <w:ind w:left="420" w:leftChars="200"/>
    </w:pPr>
  </w:style>
  <w:style w:type="paragraph" w:customStyle="1" w:styleId="11">
    <w:name w:val="简单回函地址"/>
    <w:basedOn w:val="1"/>
    <w:next w:val="12"/>
    <w:qFormat/>
    <w:uiPriority w:val="0"/>
  </w:style>
  <w:style w:type="paragraph" w:customStyle="1" w:styleId="12">
    <w:name w:val="正文2"/>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3">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Title"/>
    <w:basedOn w:val="1"/>
    <w:next w:val="1"/>
    <w:qFormat/>
    <w:uiPriority w:val="10"/>
    <w:pPr>
      <w:spacing w:before="240" w:after="60"/>
      <w:jc w:val="center"/>
      <w:outlineLvl w:val="0"/>
    </w:pPr>
    <w:rPr>
      <w:rFonts w:ascii="Cambria" w:hAnsi="Cambria"/>
      <w:b/>
      <w:bCs/>
      <w:sz w:val="32"/>
      <w:szCs w:val="32"/>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段落正文"/>
    <w:basedOn w:val="5"/>
    <w:qFormat/>
    <w:uiPriority w:val="0"/>
    <w:pPr>
      <w:spacing w:beforeLines="50" w:line="360" w:lineRule="auto"/>
      <w:ind w:firstLine="200" w:firstLineChars="200"/>
    </w:pPr>
    <w:rPr>
      <w:rFonts w:ascii="Times New Roman"/>
      <w:spacing w:val="2"/>
      <w:sz w:val="24"/>
    </w:rPr>
  </w:style>
  <w:style w:type="character" w:customStyle="1" w:styleId="19">
    <w:name w:val="font21"/>
    <w:basedOn w:val="17"/>
    <w:qFormat/>
    <w:uiPriority w:val="0"/>
    <w:rPr>
      <w:rFonts w:hint="eastAsia" w:ascii="宋体" w:hAnsi="宋体" w:eastAsia="宋体" w:cs="宋体"/>
      <w:color w:val="FF0000"/>
      <w:sz w:val="18"/>
      <w:szCs w:val="18"/>
      <w:u w:val="none"/>
    </w:rPr>
  </w:style>
  <w:style w:type="character" w:customStyle="1" w:styleId="20">
    <w:name w:val="font11"/>
    <w:basedOn w:val="17"/>
    <w:qFormat/>
    <w:uiPriority w:val="0"/>
    <w:rPr>
      <w:rFonts w:hint="eastAsia" w:ascii="宋体" w:hAnsi="宋体" w:eastAsia="宋体" w:cs="宋体"/>
      <w:color w:val="000000"/>
      <w:sz w:val="18"/>
      <w:szCs w:val="18"/>
      <w:u w:val="none"/>
    </w:rPr>
  </w:style>
  <w:style w:type="character" w:customStyle="1" w:styleId="21">
    <w:name w:val="font01"/>
    <w:basedOn w:val="17"/>
    <w:qFormat/>
    <w:uiPriority w:val="0"/>
    <w:rPr>
      <w:rFonts w:hint="default" w:ascii="Calibri" w:hAnsi="Calibri" w:cs="Calibri"/>
      <w:color w:val="000000"/>
      <w:sz w:val="21"/>
      <w:szCs w:val="21"/>
      <w:u w:val="none"/>
    </w:rPr>
  </w:style>
  <w:style w:type="character" w:customStyle="1" w:styleId="22">
    <w:name w:val="NormalCharacter"/>
    <w:qFormat/>
    <w:uiPriority w:val="0"/>
    <w:rPr>
      <w:rFonts w:ascii="宋体" w:hAnsi="Times New Roman" w:eastAsia="宋体" w:cs="Times New Roman"/>
      <w:sz w:val="34"/>
      <w:lang w:val="en-US" w:eastAsia="zh-CN" w:bidi="ar-SA"/>
    </w:rPr>
  </w:style>
  <w:style w:type="paragraph" w:customStyle="1" w:styleId="23">
    <w:name w:val="Table Paragraph"/>
    <w:basedOn w:val="1"/>
    <w:qFormat/>
    <w:uiPriority w:val="0"/>
    <w:rPr>
      <w:rFonts w:hAnsi="宋体" w:cs="宋体"/>
      <w:lang w:val="zh-CN" w:bidi="zh-CN"/>
    </w:rPr>
  </w:style>
  <w:style w:type="character" w:customStyle="1" w:styleId="24">
    <w:name w:val="标题 3 Char Char Char"/>
    <w:qFormat/>
    <w:uiPriority w:val="0"/>
    <w:rPr>
      <w:rFonts w:eastAsia="宋体"/>
      <w:b/>
      <w:kern w:val="2"/>
      <w:sz w:val="32"/>
      <w:lang w:val="en-US" w:eastAsia="zh-CN" w:bidi="ar-SA"/>
    </w:rPr>
  </w:style>
  <w:style w:type="paragraph" w:customStyle="1" w:styleId="25">
    <w:name w:val="列出段落1"/>
    <w:basedOn w:val="1"/>
    <w:qFormat/>
    <w:uiPriority w:val="0"/>
    <w:pPr>
      <w:ind w:firstLine="420" w:firstLineChars="200"/>
    </w:pPr>
  </w:style>
  <w:style w:type="paragraph" w:styleId="26">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1795</Words>
  <Characters>2060</Characters>
  <Lines>0</Lines>
  <Paragraphs>0</Paragraphs>
  <TotalTime>0</TotalTime>
  <ScaleCrop>false</ScaleCrop>
  <LinksUpToDate>false</LinksUpToDate>
  <CharactersWithSpaces>2067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2025-04-25T08:25:00Z</dcterms:created>
  <dc:creator>XXX</dc:creator>
  <cp:lastModifiedBy>七喜啊。</cp:lastModifiedBy>
  <cp:lastPrinted>2025-08-06T07:31:00Z</cp:lastPrinted>
  <dcterms:modified xsi:type="dcterms:W3CDTF">2025-08-12T03:01:40Z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8ED342555E684F75BB1575FCF4AFFB14_13</vt:lpwstr>
  </property>
  <property fmtid="{D5CDD505-2E9C-101B-9397-08002B2CF9AE}" pid="4" name="KSOTemplateDocerSaveRecord">
    <vt:lpwstr>eyJoZGlkIjoiZTBmZTQ4ZDI1MWY3Y2Q2ODMzYTgwNmRmM2EwNzJiZTgiLCJ1c2VySWQiOiIyMTI1MzQ2OTMifQ==</vt:lpwstr>
  </property>
</Properties>
</file>